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5B0E" w14:textId="164B757B" w:rsidR="006954D0" w:rsidRDefault="006954D0" w:rsidP="006954D0">
      <w:pPr>
        <w:pStyle w:val="Heading1"/>
        <w:numPr>
          <w:ilvl w:val="0"/>
          <w:numId w:val="0"/>
        </w:numPr>
        <w:ind w:left="113" w:right="113"/>
      </w:pPr>
      <w:bookmarkStart w:id="0" w:name="_Toc101891846"/>
      <w:r w:rsidRPr="00343FA8">
        <w:t xml:space="preserve">Challenge </w:t>
      </w:r>
      <w:r>
        <w:t>b</w:t>
      </w:r>
      <w:r w:rsidRPr="00343FA8">
        <w:t xml:space="preserve">ased </w:t>
      </w:r>
      <w:r>
        <w:t>l</w:t>
      </w:r>
      <w:r w:rsidRPr="00343FA8">
        <w:t xml:space="preserve">earning </w:t>
      </w:r>
      <w:r>
        <w:t>(CBL)</w:t>
      </w:r>
    </w:p>
    <w:p w14:paraId="5A348404" w14:textId="77777777" w:rsidR="009931D8" w:rsidRDefault="009931D8" w:rsidP="006954D0">
      <w:pPr>
        <w:pStyle w:val="Heading1"/>
        <w:numPr>
          <w:ilvl w:val="0"/>
          <w:numId w:val="0"/>
        </w:numPr>
        <w:ind w:left="113" w:right="113"/>
        <w:rPr>
          <w:rFonts w:cs="Calibri"/>
          <w:color w:val="000000"/>
          <w:sz w:val="20"/>
          <w:szCs w:val="20"/>
        </w:rPr>
      </w:pPr>
    </w:p>
    <w:p w14:paraId="18310513" w14:textId="62A11F24" w:rsidR="006954D0" w:rsidRPr="008852D6" w:rsidRDefault="006954D0" w:rsidP="006954D0">
      <w:pPr>
        <w:pStyle w:val="Heading1"/>
        <w:numPr>
          <w:ilvl w:val="0"/>
          <w:numId w:val="0"/>
        </w:numPr>
        <w:ind w:left="113" w:right="113"/>
        <w:rPr>
          <w:sz w:val="20"/>
          <w:szCs w:val="20"/>
        </w:rPr>
      </w:pPr>
      <w:r w:rsidRPr="008852D6">
        <w:rPr>
          <w:rFonts w:cs="Calibri"/>
          <w:color w:val="000000"/>
          <w:sz w:val="20"/>
          <w:szCs w:val="20"/>
        </w:rPr>
        <w:t>Fabrication of “sticky” biomaterials with antifibrotic and vascularization properties to treat myocardial infarction</w:t>
      </w:r>
      <w:bookmarkEnd w:id="0"/>
    </w:p>
    <w:p w14:paraId="2B9C6D57" w14:textId="77777777" w:rsidR="006954D0" w:rsidRDefault="006954D0" w:rsidP="006954D0">
      <w:pPr>
        <w:pStyle w:val="Heading1"/>
        <w:numPr>
          <w:ilvl w:val="0"/>
          <w:numId w:val="0"/>
        </w:numPr>
        <w:ind w:left="113" w:right="113"/>
        <w:rPr>
          <w:rFonts w:cs="Calibri"/>
          <w:b w:val="0"/>
          <w:bCs w:val="0"/>
          <w:color w:val="000000"/>
          <w:sz w:val="20"/>
          <w:szCs w:val="20"/>
        </w:rPr>
      </w:pPr>
    </w:p>
    <w:p w14:paraId="557F95BF" w14:textId="1CDEBC32" w:rsidR="006954D0" w:rsidRPr="009F3FBA" w:rsidRDefault="006954D0" w:rsidP="001F0363">
      <w:pPr>
        <w:pStyle w:val="Heading1"/>
        <w:numPr>
          <w:ilvl w:val="0"/>
          <w:numId w:val="0"/>
        </w:numPr>
        <w:ind w:left="113" w:right="113"/>
        <w:rPr>
          <w:rFonts w:cs="Calibri"/>
          <w:b w:val="0"/>
          <w:bCs w:val="0"/>
          <w:color w:val="000000"/>
          <w:sz w:val="20"/>
          <w:szCs w:val="20"/>
        </w:rPr>
      </w:pPr>
      <w:bookmarkStart w:id="1" w:name="_Toc101891847"/>
      <w:r w:rsidRPr="009F3FBA">
        <w:rPr>
          <w:rFonts w:cs="Calibri"/>
          <w:color w:val="000000"/>
          <w:sz w:val="20"/>
          <w:szCs w:val="20"/>
        </w:rPr>
        <w:t>Note for teachers: A CBL user guide can be found at</w:t>
      </w:r>
      <w:r w:rsidRPr="009F3FBA">
        <w:rPr>
          <w:rFonts w:cs="Calibri"/>
          <w:b w:val="0"/>
          <w:bCs w:val="0"/>
          <w:color w:val="000000"/>
          <w:sz w:val="20"/>
          <w:szCs w:val="20"/>
        </w:rPr>
        <w:t xml:space="preserve"> www.jandeboerlab.com/TissueEngineering with instructions and tips to run an effective CBL teaching session.</w:t>
      </w:r>
      <w:bookmarkEnd w:id="1"/>
      <w:r w:rsidRPr="009F3FBA">
        <w:rPr>
          <w:rFonts w:cs="Calibri"/>
          <w:b w:val="0"/>
          <w:bCs w:val="0"/>
          <w:color w:val="000000"/>
          <w:sz w:val="20"/>
          <w:szCs w:val="20"/>
        </w:rPr>
        <w:t xml:space="preserve">   </w:t>
      </w:r>
    </w:p>
    <w:p w14:paraId="1AA091B0" w14:textId="77777777" w:rsidR="006954D0" w:rsidRPr="009F3FBA" w:rsidRDefault="006954D0" w:rsidP="006954D0">
      <w:pPr>
        <w:pStyle w:val="Heading1"/>
        <w:numPr>
          <w:ilvl w:val="0"/>
          <w:numId w:val="0"/>
        </w:numPr>
        <w:ind w:left="113" w:right="113"/>
        <w:rPr>
          <w:rFonts w:cs="Calibri"/>
          <w:color w:val="000000"/>
          <w:sz w:val="20"/>
          <w:szCs w:val="20"/>
        </w:rPr>
      </w:pPr>
      <w:bookmarkStart w:id="2" w:name="_Toc101891848"/>
      <w:r w:rsidRPr="009F3FBA">
        <w:rPr>
          <w:rFonts w:cs="Calibri"/>
          <w:color w:val="000000"/>
          <w:sz w:val="20"/>
          <w:szCs w:val="20"/>
        </w:rPr>
        <w:t xml:space="preserve">Background and </w:t>
      </w:r>
      <w:r>
        <w:rPr>
          <w:rFonts w:cs="Calibri"/>
          <w:color w:val="000000"/>
          <w:sz w:val="20"/>
          <w:szCs w:val="20"/>
        </w:rPr>
        <w:t>v</w:t>
      </w:r>
      <w:r w:rsidRPr="009F3FBA">
        <w:rPr>
          <w:rFonts w:cs="Calibri"/>
          <w:color w:val="000000"/>
          <w:sz w:val="20"/>
          <w:szCs w:val="20"/>
        </w:rPr>
        <w:t>ision</w:t>
      </w:r>
      <w:bookmarkEnd w:id="2"/>
    </w:p>
    <w:p w14:paraId="67B54EE0" w14:textId="57ACD7C6" w:rsidR="006954D0" w:rsidRPr="009F3FBA" w:rsidRDefault="006954D0" w:rsidP="001F0363">
      <w:pPr>
        <w:pStyle w:val="Heading1"/>
        <w:numPr>
          <w:ilvl w:val="0"/>
          <w:numId w:val="0"/>
        </w:numPr>
        <w:ind w:left="113" w:right="113"/>
        <w:rPr>
          <w:rFonts w:cs="Calibri"/>
          <w:b w:val="0"/>
          <w:bCs w:val="0"/>
          <w:color w:val="000000"/>
          <w:sz w:val="20"/>
          <w:szCs w:val="20"/>
        </w:rPr>
      </w:pPr>
      <w:bookmarkStart w:id="3" w:name="_Toc101891849"/>
      <w:r w:rsidRPr="009F3FBA">
        <w:rPr>
          <w:rFonts w:cs="Calibri"/>
          <w:b w:val="0"/>
          <w:bCs w:val="0"/>
          <w:color w:val="000000"/>
          <w:sz w:val="20"/>
          <w:szCs w:val="20"/>
        </w:rPr>
        <w:t>Cardiovascular diseases are the number one reason for non-accidental deaths in the world. It is well documented that cardiovascular diseases worsen with a sedentary life style, sugar and fat diets, and stress. This can lead to fat and lipid deposits that can partially or totally block arteries like the coronaries in the heart. Sustained lack of irrigation to the heart muscle (myocardium) will alter heart function and lead to death if emergency medical care is not provided. This event is called a myocardial infarction (MI) and can lead to inadequate and incomplete tissue regeneration and fibrosis. The long-term vision is to develop a therapeutical tool to regenerate the myocardium immediately after infarction before it progresses into fibrotic tissue.</w:t>
      </w:r>
      <w:bookmarkEnd w:id="3"/>
      <w:r w:rsidRPr="009F3FBA">
        <w:rPr>
          <w:rFonts w:cs="Calibri"/>
          <w:b w:val="0"/>
          <w:bCs w:val="0"/>
          <w:color w:val="000000"/>
          <w:sz w:val="20"/>
          <w:szCs w:val="20"/>
        </w:rPr>
        <w:t xml:space="preserve"> </w:t>
      </w:r>
    </w:p>
    <w:p w14:paraId="319FD79E" w14:textId="77777777" w:rsidR="006954D0" w:rsidRPr="009F3FBA" w:rsidRDefault="006954D0" w:rsidP="006954D0">
      <w:pPr>
        <w:pStyle w:val="Heading1"/>
        <w:numPr>
          <w:ilvl w:val="0"/>
          <w:numId w:val="0"/>
        </w:numPr>
        <w:ind w:left="113" w:right="113"/>
        <w:rPr>
          <w:rFonts w:cs="Calibri"/>
          <w:color w:val="000000"/>
          <w:sz w:val="20"/>
          <w:szCs w:val="20"/>
        </w:rPr>
      </w:pPr>
      <w:bookmarkStart w:id="4" w:name="_Toc101891850"/>
      <w:r w:rsidRPr="009F3FBA">
        <w:rPr>
          <w:rFonts w:cs="Calibri"/>
          <w:color w:val="000000"/>
          <w:sz w:val="20"/>
          <w:szCs w:val="20"/>
        </w:rPr>
        <w:t xml:space="preserve">Motivation and </w:t>
      </w:r>
      <w:r>
        <w:rPr>
          <w:rFonts w:cs="Calibri"/>
          <w:color w:val="000000"/>
          <w:sz w:val="20"/>
          <w:szCs w:val="20"/>
        </w:rPr>
        <w:t>s</w:t>
      </w:r>
      <w:r w:rsidRPr="009F3FBA">
        <w:rPr>
          <w:rFonts w:cs="Calibri"/>
          <w:color w:val="000000"/>
          <w:sz w:val="20"/>
          <w:szCs w:val="20"/>
        </w:rPr>
        <w:t>takeholders</w:t>
      </w:r>
      <w:bookmarkEnd w:id="4"/>
    </w:p>
    <w:p w14:paraId="452F895E" w14:textId="6B0C7336" w:rsidR="006954D0" w:rsidRPr="009F3FBA" w:rsidRDefault="006954D0" w:rsidP="001F0363">
      <w:pPr>
        <w:pStyle w:val="Heading1"/>
        <w:numPr>
          <w:ilvl w:val="0"/>
          <w:numId w:val="0"/>
        </w:numPr>
        <w:ind w:left="113" w:right="113"/>
        <w:rPr>
          <w:rFonts w:cs="Calibri"/>
          <w:b w:val="0"/>
          <w:bCs w:val="0"/>
          <w:color w:val="000000"/>
          <w:sz w:val="20"/>
          <w:szCs w:val="20"/>
        </w:rPr>
      </w:pPr>
      <w:bookmarkStart w:id="5" w:name="_Toc101891851"/>
      <w:r w:rsidRPr="009F3FBA">
        <w:rPr>
          <w:rFonts w:cs="Calibri"/>
          <w:b w:val="0"/>
          <w:bCs w:val="0"/>
          <w:color w:val="000000"/>
          <w:sz w:val="20"/>
          <w:szCs w:val="20"/>
        </w:rPr>
        <w:t>Inhibition of the fibrotic response after an infarction is shown to be effective in reducing the loss of cardiac tissue function. In addition to this, myocardium regeneration requires irrigation of the new tissue via the formation of new vessels. Novel biomaterial formulations are not only biocompatible but actively support the recruitment of cardiomyocytes and vasculature, and inhibit the immune system. New solutions for minimally invasive technology to fix heart muscle defects after infarction should acknowledge the requirements set out by the stakeholders such as the patients, interventional cardiologists, cardiovascular surgeons, biomedical engineers, and material scientists.</w:t>
      </w:r>
      <w:bookmarkEnd w:id="5"/>
      <w:r w:rsidRPr="009F3FBA">
        <w:rPr>
          <w:rFonts w:cs="Calibri"/>
          <w:b w:val="0"/>
          <w:bCs w:val="0"/>
          <w:color w:val="000000"/>
          <w:sz w:val="20"/>
          <w:szCs w:val="20"/>
        </w:rPr>
        <w:t xml:space="preserve"> </w:t>
      </w:r>
    </w:p>
    <w:p w14:paraId="4BB5A64D" w14:textId="77777777" w:rsidR="006954D0" w:rsidRPr="009F3FBA" w:rsidRDefault="006954D0" w:rsidP="006954D0">
      <w:pPr>
        <w:pStyle w:val="Heading1"/>
        <w:numPr>
          <w:ilvl w:val="0"/>
          <w:numId w:val="0"/>
        </w:numPr>
        <w:ind w:left="113" w:right="113"/>
        <w:rPr>
          <w:rFonts w:cs="Calibri"/>
          <w:color w:val="000000"/>
          <w:sz w:val="20"/>
          <w:szCs w:val="20"/>
        </w:rPr>
      </w:pPr>
      <w:bookmarkStart w:id="6" w:name="_Toc101891852"/>
      <w:r w:rsidRPr="009F3FBA">
        <w:rPr>
          <w:rFonts w:cs="Calibri"/>
          <w:color w:val="000000"/>
          <w:sz w:val="20"/>
          <w:szCs w:val="20"/>
        </w:rPr>
        <w:t xml:space="preserve">Problem </w:t>
      </w:r>
      <w:r>
        <w:rPr>
          <w:rFonts w:cs="Calibri"/>
          <w:color w:val="000000"/>
          <w:sz w:val="20"/>
          <w:szCs w:val="20"/>
        </w:rPr>
        <w:t>d</w:t>
      </w:r>
      <w:r w:rsidRPr="009F3FBA">
        <w:rPr>
          <w:rFonts w:cs="Calibri"/>
          <w:color w:val="000000"/>
          <w:sz w:val="20"/>
          <w:szCs w:val="20"/>
        </w:rPr>
        <w:t>efinition</w:t>
      </w:r>
      <w:bookmarkEnd w:id="6"/>
    </w:p>
    <w:p w14:paraId="79F85DF2" w14:textId="15C5A3F2" w:rsidR="006954D0" w:rsidRPr="009F3FBA" w:rsidRDefault="006954D0" w:rsidP="001F0363">
      <w:pPr>
        <w:pStyle w:val="Heading1"/>
        <w:numPr>
          <w:ilvl w:val="0"/>
          <w:numId w:val="0"/>
        </w:numPr>
        <w:ind w:left="113" w:right="113"/>
        <w:rPr>
          <w:rFonts w:cs="Calibri"/>
          <w:b w:val="0"/>
          <w:bCs w:val="0"/>
          <w:color w:val="000000"/>
          <w:sz w:val="20"/>
          <w:szCs w:val="20"/>
        </w:rPr>
      </w:pPr>
      <w:bookmarkStart w:id="7" w:name="_Toc101891853"/>
      <w:r w:rsidRPr="009F3FBA">
        <w:rPr>
          <w:rFonts w:cs="Calibri"/>
          <w:b w:val="0"/>
          <w:bCs w:val="0"/>
          <w:color w:val="000000"/>
          <w:sz w:val="20"/>
          <w:szCs w:val="20"/>
        </w:rPr>
        <w:t>Novel tissue engineering cardiovascular strategies should aim to develop a material that can promote healing and neo-vascularization as it adheres to the walls of the beating and dynamic heart. This material should be in the form of a hydrogel that can be compressed in a canula and deployed to the injured heart site via catheter to minimize additional myocardium damage. Currently no tissue engineering strategy is clinically available to be deployed using a catheter to mend fibrotic and avascular myocardium. A new generation of “sticky” biomaterials or hydrogels is required to recruit mesenchymal or progenitor-derived cells from the surroundings and the immune system (macrophages) to resolve fibrosis to ultimately replace it with healthy myocardium-like tissue.</w:t>
      </w:r>
      <w:bookmarkEnd w:id="7"/>
      <w:r w:rsidRPr="009F3FBA">
        <w:rPr>
          <w:rFonts w:cs="Calibri"/>
          <w:b w:val="0"/>
          <w:bCs w:val="0"/>
          <w:color w:val="000000"/>
          <w:sz w:val="20"/>
          <w:szCs w:val="20"/>
        </w:rPr>
        <w:t xml:space="preserve"> </w:t>
      </w:r>
    </w:p>
    <w:p w14:paraId="483904CD" w14:textId="77777777" w:rsidR="006954D0" w:rsidRPr="009F3FBA" w:rsidRDefault="006954D0" w:rsidP="006954D0">
      <w:pPr>
        <w:pStyle w:val="Heading1"/>
        <w:numPr>
          <w:ilvl w:val="0"/>
          <w:numId w:val="0"/>
        </w:numPr>
        <w:ind w:left="113" w:right="113"/>
        <w:rPr>
          <w:rFonts w:cs="Calibri"/>
          <w:color w:val="000000"/>
          <w:sz w:val="20"/>
          <w:szCs w:val="20"/>
        </w:rPr>
      </w:pPr>
      <w:bookmarkStart w:id="8" w:name="_Toc101891854"/>
      <w:r w:rsidRPr="009F3FBA">
        <w:rPr>
          <w:rFonts w:cs="Calibri"/>
          <w:color w:val="000000"/>
          <w:sz w:val="20"/>
          <w:szCs w:val="20"/>
        </w:rPr>
        <w:t>Challenge</w:t>
      </w:r>
      <w:bookmarkEnd w:id="8"/>
    </w:p>
    <w:p w14:paraId="38291591" w14:textId="1A10E8F4" w:rsidR="006954D0" w:rsidRPr="009F3FBA" w:rsidRDefault="006954D0" w:rsidP="001F0363">
      <w:pPr>
        <w:pStyle w:val="Heading1"/>
        <w:numPr>
          <w:ilvl w:val="0"/>
          <w:numId w:val="0"/>
        </w:numPr>
        <w:ind w:left="113" w:right="113"/>
        <w:rPr>
          <w:rFonts w:cs="Calibri"/>
          <w:b w:val="0"/>
          <w:bCs w:val="0"/>
          <w:color w:val="000000"/>
          <w:sz w:val="20"/>
          <w:szCs w:val="20"/>
        </w:rPr>
      </w:pPr>
      <w:bookmarkStart w:id="9" w:name="_Toc101891855"/>
      <w:r w:rsidRPr="009F3FBA">
        <w:rPr>
          <w:rFonts w:cs="Calibri"/>
          <w:b w:val="0"/>
          <w:bCs w:val="0"/>
          <w:color w:val="000000"/>
          <w:sz w:val="20"/>
          <w:szCs w:val="20"/>
        </w:rPr>
        <w:t>To design an effective “sticky” biomaterial or hydrogel with antifibrotic and vascularization properties that can be deployed on site non-invasively after myocardial infarction.</w:t>
      </w:r>
      <w:bookmarkEnd w:id="9"/>
      <w:r w:rsidRPr="009F3FBA">
        <w:rPr>
          <w:rFonts w:cs="Calibri"/>
          <w:b w:val="0"/>
          <w:bCs w:val="0"/>
          <w:color w:val="000000"/>
          <w:sz w:val="20"/>
          <w:szCs w:val="20"/>
        </w:rPr>
        <w:t xml:space="preserve"> </w:t>
      </w:r>
    </w:p>
    <w:p w14:paraId="1B2D26AE" w14:textId="77777777" w:rsidR="006954D0" w:rsidRPr="009F3FBA" w:rsidRDefault="006954D0" w:rsidP="006954D0">
      <w:pPr>
        <w:pStyle w:val="Heading1"/>
        <w:numPr>
          <w:ilvl w:val="0"/>
          <w:numId w:val="0"/>
        </w:numPr>
        <w:ind w:left="113" w:right="113"/>
        <w:rPr>
          <w:rFonts w:cs="Calibri"/>
          <w:color w:val="000000"/>
          <w:sz w:val="20"/>
          <w:szCs w:val="20"/>
        </w:rPr>
      </w:pPr>
      <w:bookmarkStart w:id="10" w:name="_Toc101891856"/>
      <w:r w:rsidRPr="009F3FBA">
        <w:rPr>
          <w:rFonts w:cs="Calibri"/>
          <w:color w:val="000000"/>
          <w:sz w:val="20"/>
          <w:szCs w:val="20"/>
        </w:rPr>
        <w:t xml:space="preserve">Learning </w:t>
      </w:r>
      <w:r>
        <w:rPr>
          <w:rFonts w:cs="Calibri"/>
          <w:color w:val="000000"/>
          <w:sz w:val="20"/>
          <w:szCs w:val="20"/>
        </w:rPr>
        <w:t>f</w:t>
      </w:r>
      <w:r w:rsidRPr="009F3FBA">
        <w:rPr>
          <w:rFonts w:cs="Calibri"/>
          <w:color w:val="000000"/>
          <w:sz w:val="20"/>
          <w:szCs w:val="20"/>
        </w:rPr>
        <w:t>ramework</w:t>
      </w:r>
      <w:bookmarkEnd w:id="10"/>
    </w:p>
    <w:p w14:paraId="2E31B43C" w14:textId="77777777" w:rsidR="006954D0" w:rsidRPr="009F3FBA" w:rsidRDefault="006954D0" w:rsidP="006954D0">
      <w:pPr>
        <w:pStyle w:val="Heading1"/>
        <w:numPr>
          <w:ilvl w:val="0"/>
          <w:numId w:val="0"/>
        </w:numPr>
        <w:ind w:left="113" w:right="113"/>
        <w:rPr>
          <w:rFonts w:cs="Calibri"/>
          <w:b w:val="0"/>
          <w:bCs w:val="0"/>
          <w:color w:val="000000"/>
          <w:sz w:val="20"/>
          <w:szCs w:val="20"/>
        </w:rPr>
      </w:pPr>
      <w:bookmarkStart w:id="11" w:name="_Toc101891857"/>
      <w:r w:rsidRPr="009F3FBA">
        <w:rPr>
          <w:rFonts w:cs="Calibri"/>
          <w:b w:val="0"/>
          <w:bCs w:val="0"/>
          <w:color w:val="000000"/>
          <w:sz w:val="20"/>
          <w:szCs w:val="20"/>
        </w:rPr>
        <w:t>Reading the Cardiovascular Tissue Engineering chapter and related literature will help you to will help you to understand:</w:t>
      </w:r>
      <w:bookmarkEnd w:id="11"/>
    </w:p>
    <w:p w14:paraId="43DC1F2A" w14:textId="77777777" w:rsidR="006954D0" w:rsidRPr="009F3FBA" w:rsidRDefault="006954D0" w:rsidP="00E852AF">
      <w:pPr>
        <w:pStyle w:val="Heading1"/>
        <w:numPr>
          <w:ilvl w:val="0"/>
          <w:numId w:val="5"/>
        </w:numPr>
        <w:ind w:right="113"/>
        <w:rPr>
          <w:rFonts w:cs="Calibri"/>
          <w:b w:val="0"/>
          <w:bCs w:val="0"/>
          <w:color w:val="000000"/>
          <w:sz w:val="20"/>
          <w:szCs w:val="20"/>
        </w:rPr>
      </w:pPr>
      <w:bookmarkStart w:id="12" w:name="_Toc101891858"/>
      <w:r w:rsidRPr="009F3FBA">
        <w:rPr>
          <w:rFonts w:cs="Calibri"/>
          <w:b w:val="0"/>
          <w:bCs w:val="0"/>
          <w:color w:val="000000"/>
          <w:sz w:val="20"/>
          <w:szCs w:val="20"/>
        </w:rPr>
        <w:t>Heart and cardiovascular anatomy and physiology in humans.</w:t>
      </w:r>
      <w:bookmarkEnd w:id="12"/>
    </w:p>
    <w:p w14:paraId="6EA45F07" w14:textId="77777777" w:rsidR="006954D0" w:rsidRPr="009F3FBA" w:rsidRDefault="006954D0" w:rsidP="00E852AF">
      <w:pPr>
        <w:pStyle w:val="Heading1"/>
        <w:numPr>
          <w:ilvl w:val="0"/>
          <w:numId w:val="5"/>
        </w:numPr>
        <w:ind w:right="113"/>
        <w:rPr>
          <w:rFonts w:cs="Calibri"/>
          <w:b w:val="0"/>
          <w:bCs w:val="0"/>
          <w:color w:val="000000"/>
          <w:sz w:val="20"/>
          <w:szCs w:val="20"/>
        </w:rPr>
      </w:pPr>
      <w:bookmarkStart w:id="13" w:name="_Toc101891859"/>
      <w:r w:rsidRPr="009F3FBA">
        <w:rPr>
          <w:rFonts w:cs="Calibri"/>
          <w:b w:val="0"/>
          <w:bCs w:val="0"/>
          <w:color w:val="000000"/>
          <w:sz w:val="20"/>
          <w:szCs w:val="20"/>
        </w:rPr>
        <w:t>Pathophysiology of heart injury such as myocardial infarction.</w:t>
      </w:r>
      <w:bookmarkEnd w:id="13"/>
    </w:p>
    <w:p w14:paraId="1E23B0CF" w14:textId="127E8069" w:rsidR="006954D0" w:rsidRPr="001F0363" w:rsidRDefault="006954D0" w:rsidP="001F0363">
      <w:pPr>
        <w:pStyle w:val="Heading1"/>
        <w:numPr>
          <w:ilvl w:val="0"/>
          <w:numId w:val="5"/>
        </w:numPr>
        <w:ind w:right="113"/>
        <w:rPr>
          <w:rFonts w:cs="Calibri"/>
          <w:b w:val="0"/>
          <w:bCs w:val="0"/>
          <w:color w:val="000000"/>
          <w:sz w:val="20"/>
          <w:szCs w:val="20"/>
        </w:rPr>
      </w:pPr>
      <w:bookmarkStart w:id="14" w:name="_Toc101891860"/>
      <w:r w:rsidRPr="009F3FBA">
        <w:rPr>
          <w:rFonts w:cs="Calibri"/>
          <w:b w:val="0"/>
          <w:bCs w:val="0"/>
          <w:color w:val="000000"/>
          <w:sz w:val="20"/>
          <w:szCs w:val="20"/>
        </w:rPr>
        <w:t>Current cardio-interventions and state-of-art treatments to identify and resolve myocardial infarctions.</w:t>
      </w:r>
      <w:bookmarkEnd w:id="14"/>
    </w:p>
    <w:p w14:paraId="5A42C36C" w14:textId="77777777" w:rsidR="006954D0" w:rsidRPr="009F3FBA" w:rsidRDefault="006954D0" w:rsidP="006954D0">
      <w:pPr>
        <w:pStyle w:val="Heading1"/>
        <w:numPr>
          <w:ilvl w:val="0"/>
          <w:numId w:val="0"/>
        </w:numPr>
        <w:ind w:left="113" w:right="113"/>
        <w:rPr>
          <w:rFonts w:cs="Calibri"/>
          <w:b w:val="0"/>
          <w:bCs w:val="0"/>
          <w:color w:val="000000"/>
          <w:sz w:val="20"/>
          <w:szCs w:val="20"/>
        </w:rPr>
      </w:pPr>
      <w:bookmarkStart w:id="15" w:name="_Toc101891861"/>
      <w:r w:rsidRPr="009F3FBA">
        <w:rPr>
          <w:rFonts w:cs="Calibri"/>
          <w:b w:val="0"/>
          <w:bCs w:val="0"/>
          <w:color w:val="000000"/>
          <w:sz w:val="20"/>
          <w:szCs w:val="20"/>
        </w:rPr>
        <w:t>For a more focused examination of the challenge, read scientific literature and create a mind map to include information about the following:</w:t>
      </w:r>
      <w:bookmarkEnd w:id="15"/>
    </w:p>
    <w:p w14:paraId="4E4FF85A" w14:textId="77777777" w:rsidR="006954D0" w:rsidRPr="009F3FBA" w:rsidRDefault="006954D0" w:rsidP="00E852AF">
      <w:pPr>
        <w:pStyle w:val="Heading1"/>
        <w:numPr>
          <w:ilvl w:val="0"/>
          <w:numId w:val="5"/>
        </w:numPr>
        <w:ind w:right="113"/>
        <w:rPr>
          <w:rFonts w:cs="Calibri"/>
          <w:b w:val="0"/>
          <w:bCs w:val="0"/>
          <w:color w:val="000000"/>
          <w:sz w:val="20"/>
          <w:szCs w:val="20"/>
        </w:rPr>
      </w:pPr>
      <w:bookmarkStart w:id="16" w:name="_Toc101891862"/>
      <w:r w:rsidRPr="009F3FBA">
        <w:rPr>
          <w:rFonts w:cs="Calibri"/>
          <w:b w:val="0"/>
          <w:bCs w:val="0"/>
          <w:color w:val="000000"/>
          <w:sz w:val="20"/>
          <w:szCs w:val="20"/>
        </w:rPr>
        <w:t>Current biomaterials used for cardiac tissue engineering.</w:t>
      </w:r>
      <w:bookmarkEnd w:id="16"/>
    </w:p>
    <w:p w14:paraId="6CF760AC" w14:textId="77777777" w:rsidR="006954D0" w:rsidRPr="009F3FBA" w:rsidRDefault="006954D0" w:rsidP="00E852AF">
      <w:pPr>
        <w:pStyle w:val="Heading1"/>
        <w:numPr>
          <w:ilvl w:val="0"/>
          <w:numId w:val="5"/>
        </w:numPr>
        <w:ind w:right="113"/>
        <w:rPr>
          <w:rFonts w:cs="Calibri"/>
          <w:b w:val="0"/>
          <w:bCs w:val="0"/>
          <w:color w:val="000000"/>
          <w:sz w:val="20"/>
          <w:szCs w:val="20"/>
        </w:rPr>
      </w:pPr>
      <w:bookmarkStart w:id="17" w:name="_Toc101891863"/>
      <w:r w:rsidRPr="009F3FBA">
        <w:rPr>
          <w:rFonts w:cs="Calibri"/>
          <w:b w:val="0"/>
          <w:bCs w:val="0"/>
          <w:color w:val="000000"/>
          <w:sz w:val="20"/>
          <w:szCs w:val="20"/>
        </w:rPr>
        <w:t>Design criteria for biomaterials in cardiac tissue engineering.</w:t>
      </w:r>
      <w:bookmarkEnd w:id="17"/>
    </w:p>
    <w:p w14:paraId="6944875D" w14:textId="77777777" w:rsidR="006954D0" w:rsidRPr="009F3FBA" w:rsidRDefault="006954D0" w:rsidP="00E852AF">
      <w:pPr>
        <w:pStyle w:val="Heading1"/>
        <w:numPr>
          <w:ilvl w:val="0"/>
          <w:numId w:val="5"/>
        </w:numPr>
        <w:ind w:right="113"/>
        <w:rPr>
          <w:rFonts w:cs="Calibri"/>
          <w:b w:val="0"/>
          <w:bCs w:val="0"/>
          <w:color w:val="000000"/>
          <w:sz w:val="20"/>
          <w:szCs w:val="20"/>
        </w:rPr>
      </w:pPr>
      <w:bookmarkStart w:id="18" w:name="_Toc101891864"/>
      <w:r w:rsidRPr="009F3FBA">
        <w:rPr>
          <w:rFonts w:cs="Calibri"/>
          <w:b w:val="0"/>
          <w:bCs w:val="0"/>
          <w:color w:val="000000"/>
          <w:sz w:val="20"/>
          <w:szCs w:val="20"/>
        </w:rPr>
        <w:t>Arthroscopic techniques to deliver biomaterials in situ.</w:t>
      </w:r>
      <w:bookmarkEnd w:id="18"/>
    </w:p>
    <w:p w14:paraId="0509F5BF" w14:textId="77777777" w:rsidR="006954D0" w:rsidRPr="009F3FBA" w:rsidRDefault="006954D0" w:rsidP="00E852AF">
      <w:pPr>
        <w:pStyle w:val="Heading1"/>
        <w:numPr>
          <w:ilvl w:val="0"/>
          <w:numId w:val="5"/>
        </w:numPr>
        <w:ind w:right="113"/>
        <w:rPr>
          <w:rFonts w:cs="Calibri"/>
          <w:b w:val="0"/>
          <w:bCs w:val="0"/>
          <w:color w:val="000000"/>
          <w:sz w:val="20"/>
          <w:szCs w:val="20"/>
        </w:rPr>
      </w:pPr>
      <w:bookmarkStart w:id="19" w:name="_Toc101891865"/>
      <w:r w:rsidRPr="009F3FBA">
        <w:rPr>
          <w:rFonts w:cs="Calibri"/>
          <w:b w:val="0"/>
          <w:bCs w:val="0"/>
          <w:color w:val="000000"/>
          <w:sz w:val="20"/>
          <w:szCs w:val="20"/>
        </w:rPr>
        <w:t>Current strategies to produce sticky biomaterials.</w:t>
      </w:r>
      <w:bookmarkEnd w:id="19"/>
    </w:p>
    <w:p w14:paraId="3579722C" w14:textId="33DAC6E1" w:rsidR="006954D0" w:rsidRPr="001F0363" w:rsidRDefault="006954D0" w:rsidP="001F0363">
      <w:pPr>
        <w:pStyle w:val="Heading1"/>
        <w:numPr>
          <w:ilvl w:val="0"/>
          <w:numId w:val="5"/>
        </w:numPr>
        <w:ind w:right="113"/>
        <w:rPr>
          <w:rFonts w:cs="Calibri"/>
          <w:b w:val="0"/>
          <w:bCs w:val="0"/>
          <w:color w:val="000000"/>
          <w:sz w:val="20"/>
          <w:szCs w:val="20"/>
        </w:rPr>
      </w:pPr>
      <w:bookmarkStart w:id="20" w:name="_Toc101891866"/>
      <w:r w:rsidRPr="009F3FBA">
        <w:rPr>
          <w:rFonts w:cs="Calibri"/>
          <w:b w:val="0"/>
          <w:bCs w:val="0"/>
          <w:color w:val="000000"/>
          <w:sz w:val="20"/>
          <w:szCs w:val="20"/>
        </w:rPr>
        <w:t>Cellular and molecular to be targeted by the biomaterials.</w:t>
      </w:r>
      <w:bookmarkEnd w:id="20"/>
    </w:p>
    <w:p w14:paraId="0F1DDC5A" w14:textId="32998905" w:rsidR="006954D0" w:rsidRPr="009F3FBA" w:rsidRDefault="006954D0" w:rsidP="006954D0">
      <w:pPr>
        <w:pStyle w:val="Heading1"/>
        <w:numPr>
          <w:ilvl w:val="0"/>
          <w:numId w:val="0"/>
        </w:numPr>
        <w:ind w:left="113" w:right="113"/>
        <w:rPr>
          <w:rFonts w:cs="Calibri"/>
          <w:color w:val="000000"/>
          <w:sz w:val="20"/>
          <w:szCs w:val="20"/>
        </w:rPr>
      </w:pPr>
      <w:bookmarkStart w:id="21" w:name="_Toc101891868"/>
      <w:r w:rsidRPr="009F3FBA">
        <w:rPr>
          <w:rFonts w:cs="Calibri"/>
          <w:color w:val="000000"/>
          <w:sz w:val="20"/>
          <w:szCs w:val="20"/>
        </w:rPr>
        <w:t xml:space="preserve">End </w:t>
      </w:r>
      <w:r>
        <w:rPr>
          <w:rFonts w:cs="Calibri"/>
          <w:color w:val="000000"/>
          <w:sz w:val="20"/>
          <w:szCs w:val="20"/>
        </w:rPr>
        <w:t>p</w:t>
      </w:r>
      <w:r w:rsidRPr="009F3FBA">
        <w:rPr>
          <w:rFonts w:cs="Calibri"/>
          <w:color w:val="000000"/>
          <w:sz w:val="20"/>
          <w:szCs w:val="20"/>
        </w:rPr>
        <w:t>roduct</w:t>
      </w:r>
      <w:bookmarkEnd w:id="21"/>
    </w:p>
    <w:p w14:paraId="079B1E6C" w14:textId="5A2F4372" w:rsidR="006954D0" w:rsidRPr="008852D6" w:rsidRDefault="006954D0" w:rsidP="006954D0">
      <w:pPr>
        <w:pStyle w:val="Heading1"/>
        <w:numPr>
          <w:ilvl w:val="0"/>
          <w:numId w:val="0"/>
        </w:numPr>
        <w:ind w:left="113" w:right="113"/>
        <w:rPr>
          <w:rFonts w:cs="Calibri"/>
          <w:b w:val="0"/>
          <w:bCs w:val="0"/>
          <w:color w:val="000000"/>
          <w:sz w:val="20"/>
          <w:szCs w:val="20"/>
        </w:rPr>
      </w:pPr>
      <w:r w:rsidRPr="008852D6">
        <w:rPr>
          <w:rFonts w:cs="Calibri"/>
          <w:b w:val="0"/>
          <w:bCs w:val="0"/>
          <w:color w:val="000000"/>
          <w:sz w:val="20"/>
          <w:szCs w:val="20"/>
        </w:rPr>
        <w:t>A three-minute video explaining the solution of your challenge. Please include your motivation and the steps to execute your solution.</w:t>
      </w:r>
    </w:p>
    <w:p w14:paraId="64EAD1C6" w14:textId="77777777" w:rsidR="006954D0" w:rsidRPr="008852D6" w:rsidRDefault="006954D0" w:rsidP="006954D0">
      <w:pPr>
        <w:pStyle w:val="Heading1"/>
        <w:numPr>
          <w:ilvl w:val="0"/>
          <w:numId w:val="0"/>
        </w:numPr>
        <w:ind w:left="113" w:right="113"/>
        <w:rPr>
          <w:rFonts w:cs="Calibri"/>
          <w:b w:val="0"/>
          <w:bCs w:val="0"/>
          <w:color w:val="000000"/>
          <w:sz w:val="20"/>
          <w:szCs w:val="20"/>
        </w:rPr>
      </w:pPr>
    </w:p>
    <w:p w14:paraId="1F7E9025" w14:textId="77777777" w:rsidR="006954D0" w:rsidRPr="00A62C52" w:rsidRDefault="006954D0" w:rsidP="006954D0">
      <w:pPr>
        <w:pStyle w:val="Heading1"/>
        <w:numPr>
          <w:ilvl w:val="0"/>
          <w:numId w:val="0"/>
        </w:numPr>
        <w:ind w:left="113" w:right="113"/>
        <w:rPr>
          <w:b w:val="0"/>
          <w:bCs w:val="0"/>
        </w:rPr>
      </w:pPr>
      <w:r w:rsidRPr="008852D6">
        <w:rPr>
          <w:rFonts w:cs="Calibri"/>
          <w:b w:val="0"/>
          <w:bCs w:val="0"/>
          <w:color w:val="000000"/>
          <w:sz w:val="20"/>
          <w:szCs w:val="20"/>
        </w:rPr>
        <w:t>© Jan de Boer. CBL available for classroom use and CBL videos and can be found at www.jandeboerlab.com/TissueEngineering.</w:t>
      </w:r>
    </w:p>
    <w:sectPr w:rsidR="006954D0" w:rsidRPr="00A62C52"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Wingdings 2" w:hAnsi="Wingdings 2" w:cs="Wingdings 2"/>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Wingdings 2" w:hAnsi="Wingdings 2" w:cs="Wingdings 2"/>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CC7A44"/>
    <w:multiLevelType w:val="hybridMultilevel"/>
    <w:tmpl w:val="2918F7E2"/>
    <w:lvl w:ilvl="0" w:tplc="20E8D40A">
      <w:start w:val="1"/>
      <w:numFmt w:val="decimal"/>
      <w:lvlText w:val="%1."/>
      <w:lvlJc w:val="left"/>
      <w:pPr>
        <w:ind w:left="833" w:hanging="360"/>
      </w:pPr>
    </w:lvl>
    <w:lvl w:ilvl="1" w:tplc="04130019">
      <w:start w:val="1"/>
      <w:numFmt w:val="lowerLetter"/>
      <w:lvlText w:val="%2."/>
      <w:lvlJc w:val="left"/>
      <w:pPr>
        <w:ind w:left="1553" w:hanging="360"/>
      </w:pPr>
    </w:lvl>
    <w:lvl w:ilvl="2" w:tplc="0413001B">
      <w:start w:val="1"/>
      <w:numFmt w:val="lowerRoman"/>
      <w:lvlText w:val="%3."/>
      <w:lvlJc w:val="right"/>
      <w:pPr>
        <w:ind w:left="2273" w:hanging="180"/>
      </w:pPr>
    </w:lvl>
    <w:lvl w:ilvl="3" w:tplc="0413000F">
      <w:start w:val="1"/>
      <w:numFmt w:val="decimal"/>
      <w:lvlText w:val="%4."/>
      <w:lvlJc w:val="left"/>
      <w:pPr>
        <w:ind w:left="2993" w:hanging="360"/>
      </w:pPr>
    </w:lvl>
    <w:lvl w:ilvl="4" w:tplc="04130019">
      <w:start w:val="1"/>
      <w:numFmt w:val="lowerLetter"/>
      <w:lvlText w:val="%5."/>
      <w:lvlJc w:val="left"/>
      <w:pPr>
        <w:ind w:left="3713" w:hanging="360"/>
      </w:pPr>
    </w:lvl>
    <w:lvl w:ilvl="5" w:tplc="0413001B">
      <w:start w:val="1"/>
      <w:numFmt w:val="lowerRoman"/>
      <w:lvlText w:val="%6."/>
      <w:lvlJc w:val="right"/>
      <w:pPr>
        <w:ind w:left="4433" w:hanging="180"/>
      </w:pPr>
    </w:lvl>
    <w:lvl w:ilvl="6" w:tplc="0413000F">
      <w:start w:val="1"/>
      <w:numFmt w:val="decimal"/>
      <w:lvlText w:val="%7."/>
      <w:lvlJc w:val="left"/>
      <w:pPr>
        <w:ind w:left="5153" w:hanging="360"/>
      </w:pPr>
    </w:lvl>
    <w:lvl w:ilvl="7" w:tplc="04130019">
      <w:start w:val="1"/>
      <w:numFmt w:val="lowerLetter"/>
      <w:lvlText w:val="%8."/>
      <w:lvlJc w:val="left"/>
      <w:pPr>
        <w:ind w:left="5873" w:hanging="360"/>
      </w:pPr>
    </w:lvl>
    <w:lvl w:ilvl="8" w:tplc="0413001B">
      <w:start w:val="1"/>
      <w:numFmt w:val="lowerRoman"/>
      <w:lvlText w:val="%9."/>
      <w:lvlJc w:val="right"/>
      <w:pPr>
        <w:ind w:left="6593" w:hanging="180"/>
      </w:pPr>
    </w:lvl>
  </w:abstractNum>
  <w:abstractNum w:abstractNumId="4" w15:restartNumberingAfterBreak="0">
    <w:nsid w:val="5BDD6661"/>
    <w:multiLevelType w:val="hybridMultilevel"/>
    <w:tmpl w:val="E2FC9166"/>
    <w:lvl w:ilvl="0" w:tplc="1000000F">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5" w15:restartNumberingAfterBreak="0">
    <w:nsid w:val="5D926FDF"/>
    <w:multiLevelType w:val="hybridMultilevel"/>
    <w:tmpl w:val="FE02562A"/>
    <w:lvl w:ilvl="0" w:tplc="ACA012A0">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0"/>
    <w:rsid w:val="001F0363"/>
    <w:rsid w:val="003B204A"/>
    <w:rsid w:val="006954D0"/>
    <w:rsid w:val="006D0D1C"/>
    <w:rsid w:val="007467A0"/>
    <w:rsid w:val="008D1A9B"/>
    <w:rsid w:val="009931D8"/>
    <w:rsid w:val="00B340C4"/>
    <w:rsid w:val="00B675F9"/>
    <w:rsid w:val="00CF4C5C"/>
    <w:rsid w:val="00DE3C7E"/>
    <w:rsid w:val="00E31270"/>
    <w:rsid w:val="00E852AF"/>
    <w:rsid w:val="00EC7F83"/>
    <w:rsid w:val="00FA72F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8B4B"/>
  <w15:chartTrackingRefBased/>
  <w15:docId w15:val="{BB79D0A7-6CDD-48AA-9B80-0FFAF26D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B204A"/>
    <w:pPr>
      <w:numPr>
        <w:numId w:val="2"/>
      </w:numPr>
      <w:suppressAutoHyphens/>
      <w:spacing w:after="0" w:line="240" w:lineRule="auto"/>
      <w:ind w:hanging="360"/>
      <w:jc w:val="both"/>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204A"/>
    <w:rPr>
      <w:rFonts w:ascii="Corbel" w:hAnsi="Corbel"/>
      <w:b/>
      <w:bCs/>
      <w:color w:val="000000" w:themeColor="text1"/>
      <w:sz w:val="23"/>
      <w:szCs w:val="23"/>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5</cp:revision>
  <dcterms:created xsi:type="dcterms:W3CDTF">2022-05-17T18:06:00Z</dcterms:created>
  <dcterms:modified xsi:type="dcterms:W3CDTF">2022-11-03T18:45:00Z</dcterms:modified>
</cp:coreProperties>
</file>