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FD48" w14:textId="77777777" w:rsidR="0008186E" w:rsidRPr="008021BE" w:rsidRDefault="0008186E" w:rsidP="0008186E">
      <w:pPr>
        <w:pStyle w:val="Kop1"/>
        <w:rPr>
          <w:lang w:val="en-US"/>
        </w:rPr>
      </w:pPr>
      <w:r w:rsidRPr="001F3349">
        <w:rPr>
          <w:lang w:val="en-US"/>
        </w:rPr>
        <w:t>Glossary</w:t>
      </w:r>
    </w:p>
    <w:p w14:paraId="2B6B0E9A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bookmarkStart w:id="0" w:name="_Toc94628337"/>
      <w:r>
        <w:rPr>
          <w:rFonts w:ascii="Corbel" w:hAnsi="Corbel"/>
          <w:b/>
          <w:bCs/>
          <w:sz w:val="20"/>
          <w:szCs w:val="20"/>
          <w:lang w:val="en-GB"/>
        </w:rPr>
        <w:t xml:space="preserve">Advanced therapy medicinal products </w:t>
      </w:r>
      <w:r>
        <w:rPr>
          <w:rFonts w:ascii="Corbel" w:hAnsi="Corbel"/>
          <w:sz w:val="20"/>
          <w:szCs w:val="20"/>
          <w:lang w:val="en-GB"/>
        </w:rPr>
        <w:t>are advanced therapies that are based on cell therapy, gene therapy and engineered tissues, sometimes in combination with a medical device.</w:t>
      </w:r>
    </w:p>
    <w:p w14:paraId="451BF3C0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Critical quality attributes </w:t>
      </w:r>
      <w:r>
        <w:rPr>
          <w:rFonts w:ascii="Corbel" w:hAnsi="Corbel"/>
          <w:sz w:val="20"/>
          <w:szCs w:val="20"/>
          <w:lang w:val="en-GB"/>
        </w:rPr>
        <w:t>are physical, chemical, biological, or microbiological properties or characteristics of a product that should be within an appropriate limit, range, or distribution to ensure the desired product quality.</w:t>
      </w:r>
    </w:p>
    <w:p w14:paraId="5C62E35E" w14:textId="77777777" w:rsidR="000F1466" w:rsidRDefault="000F1466" w:rsidP="000F1466">
      <w:pPr>
        <w:spacing w:before="0" w:after="0"/>
        <w:rPr>
          <w:rFonts w:ascii="Corbel" w:eastAsia="Helvetica" w:hAnsi="Corbel" w:cs="Helvetica"/>
          <w:b/>
          <w:bCs/>
          <w:sz w:val="20"/>
          <w:szCs w:val="20"/>
          <w:lang w:val="en-GB"/>
        </w:rPr>
      </w:pPr>
      <w:r>
        <w:rPr>
          <w:rFonts w:ascii="Corbel" w:eastAsia="Helvetica" w:hAnsi="Corbel" w:cs="Helvetica"/>
          <w:b/>
          <w:bCs/>
          <w:sz w:val="20"/>
          <w:szCs w:val="20"/>
          <w:lang w:val="en-GB"/>
        </w:rPr>
        <w:t xml:space="preserve">Data-driven model </w:t>
      </w:r>
      <w:r>
        <w:rPr>
          <w:rFonts w:ascii="Corbel" w:eastAsia="Helvetica" w:hAnsi="Corbel" w:cs="Helvetica"/>
          <w:sz w:val="20"/>
          <w:szCs w:val="20"/>
          <w:lang w:val="en-GB"/>
        </w:rPr>
        <w:t>uses historical process data to build a mathematical model, such as cell counts, cell seeding densities or nutrient consumption rates, to predict the evolution of a biological system.</w:t>
      </w:r>
    </w:p>
    <w:p w14:paraId="58B96616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eastAsia="Calibri" w:hAnsi="Corbel" w:cs="Arial"/>
          <w:b/>
          <w:bCs/>
          <w:sz w:val="20"/>
          <w:szCs w:val="20"/>
          <w:lang w:val="en-GB"/>
        </w:rPr>
        <w:t xml:space="preserve">Design-of-Experiment(s) </w:t>
      </w:r>
      <w:r>
        <w:rPr>
          <w:rFonts w:ascii="Corbel" w:hAnsi="Corbel"/>
          <w:color w:val="333333"/>
          <w:sz w:val="20"/>
          <w:szCs w:val="20"/>
          <w:shd w:val="clear" w:color="auto" w:fill="FFFFFF"/>
        </w:rPr>
        <w:t>is a statistical method to study the relationship between multiple input variables and key output variables.</w:t>
      </w:r>
    </w:p>
    <w:p w14:paraId="5B8E4B22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Digital twins </w:t>
      </w:r>
      <w:r>
        <w:rPr>
          <w:rFonts w:ascii="Corbel" w:hAnsi="Corbel"/>
          <w:sz w:val="20"/>
          <w:szCs w:val="20"/>
          <w:lang w:val="en-GB"/>
        </w:rPr>
        <w:t>are a virtual representation that serve as the real-time digital counterpart of a physical object or process.</w:t>
      </w:r>
    </w:p>
    <w:p w14:paraId="7CE53BD4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European Medicines Agency (EMA) </w:t>
      </w:r>
      <w:r>
        <w:rPr>
          <w:rFonts w:ascii="Corbel" w:hAnsi="Corbel"/>
          <w:sz w:val="20"/>
          <w:szCs w:val="20"/>
          <w:lang w:val="en-GB"/>
        </w:rPr>
        <w:t>is an agency of the European Union in charge of the evaluation and supervision of medicinal products.</w:t>
      </w:r>
    </w:p>
    <w:p w14:paraId="0135241D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eastAsiaTheme="minorEastAsia" w:hAnsi="Corbel"/>
          <w:b/>
          <w:bCs/>
          <w:sz w:val="20"/>
          <w:szCs w:val="20"/>
          <w:lang w:val="en-GB"/>
        </w:rPr>
        <w:t xml:space="preserve">Gene therapy medicinal products </w:t>
      </w:r>
      <w:r>
        <w:rPr>
          <w:rFonts w:ascii="Corbel" w:eastAsiaTheme="minorEastAsia" w:hAnsi="Corbel"/>
          <w:sz w:val="20"/>
          <w:szCs w:val="20"/>
          <w:lang w:val="en-GB"/>
        </w:rPr>
        <w:t>contain recombinant nucleic acid administered to human beings for therapeutic, prophylactic or diagnostic effect.</w:t>
      </w:r>
      <w:r>
        <w:rPr>
          <w:rFonts w:ascii="Corbel" w:eastAsiaTheme="minorEastAsia" w:hAnsi="Corbel"/>
          <w:b/>
          <w:bCs/>
          <w:sz w:val="20"/>
          <w:szCs w:val="20"/>
          <w:lang w:val="en-GB"/>
        </w:rPr>
        <w:t xml:space="preserve"> </w:t>
      </w:r>
    </w:p>
    <w:p w14:paraId="6EB715D1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  <w:lang w:val="en-GB"/>
        </w:rPr>
      </w:pPr>
      <w:r>
        <w:rPr>
          <w:rFonts w:ascii="Corbel" w:hAnsi="Corbel"/>
          <w:b/>
          <w:bCs/>
          <w:sz w:val="20"/>
          <w:szCs w:val="20"/>
          <w:lang w:val="en-GB"/>
        </w:rPr>
        <w:t>Material Attributes</w:t>
      </w:r>
      <w:r>
        <w:rPr>
          <w:rFonts w:ascii="Corbel" w:hAnsi="Corbel"/>
          <w:sz w:val="20"/>
          <w:szCs w:val="20"/>
          <w:lang w:val="en-GB"/>
        </w:rPr>
        <w:t xml:space="preserve"> are the properties of a material used in a manufacturing process, for example, the age of the cell donor or the glucose concentration in the growth medium.</w:t>
      </w:r>
    </w:p>
    <w:p w14:paraId="00CCF65B" w14:textId="77777777" w:rsidR="000F1466" w:rsidRDefault="000F1466" w:rsidP="000F1466">
      <w:pPr>
        <w:spacing w:before="0" w:after="0"/>
        <w:rPr>
          <w:rFonts w:ascii="Corbel" w:eastAsia="Helvetica" w:hAnsi="Corbel" w:cs="Helvetica"/>
          <w:sz w:val="20"/>
          <w:szCs w:val="20"/>
          <w:lang w:val="en-GB"/>
        </w:rPr>
      </w:pPr>
      <w:r>
        <w:rPr>
          <w:rFonts w:ascii="Corbel" w:eastAsia="Helvetica" w:hAnsi="Corbel" w:cs="Helvetica"/>
          <w:b/>
          <w:bCs/>
          <w:sz w:val="20"/>
          <w:szCs w:val="20"/>
          <w:lang w:val="en-GB"/>
        </w:rPr>
        <w:t xml:space="preserve">Mechanistic models </w:t>
      </w:r>
      <w:r>
        <w:rPr>
          <w:rFonts w:ascii="Corbel" w:eastAsia="Helvetica" w:hAnsi="Corbel" w:cs="Helvetica"/>
          <w:sz w:val="20"/>
          <w:szCs w:val="20"/>
          <w:lang w:val="en-GB"/>
        </w:rPr>
        <w:t>are predictions about a process based on the fundamental laws of natural sciences.</w:t>
      </w:r>
    </w:p>
    <w:p w14:paraId="5213B0A3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>Personalized medicine</w:t>
      </w:r>
      <w:r>
        <w:rPr>
          <w:rFonts w:ascii="Corbel" w:hAnsi="Corbel"/>
          <w:sz w:val="20"/>
          <w:szCs w:val="20"/>
          <w:lang w:val="en-GB"/>
        </w:rPr>
        <w:t xml:space="preserve"> is a medical model that separates people into different groups—with medical decisions, practices, interventions and/or products being tailored to the individual patient based on their predicted response or risk of disease.</w:t>
      </w:r>
    </w:p>
    <w:p w14:paraId="586C442B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Pharmaceutical quality system </w:t>
      </w:r>
      <w:r>
        <w:rPr>
          <w:rFonts w:ascii="Corbel" w:hAnsi="Corbel"/>
          <w:sz w:val="20"/>
          <w:szCs w:val="20"/>
          <w:lang w:val="en-GB"/>
        </w:rPr>
        <w:t>ensures that the medicinal product or drug is of the quality required for its intended use.</w:t>
      </w:r>
    </w:p>
    <w:p w14:paraId="4C7FFA97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eastAsia="Helvetica" w:hAnsi="Corbel" w:cs="Helvetica"/>
          <w:b/>
          <w:bCs/>
          <w:sz w:val="20"/>
          <w:szCs w:val="20"/>
          <w:lang w:val="en-GB"/>
        </w:rPr>
        <w:t xml:space="preserve">Process Parameters </w:t>
      </w:r>
      <w:r>
        <w:rPr>
          <w:rFonts w:ascii="Corbel" w:eastAsia="Helvetica" w:hAnsi="Corbel" w:cs="Helvetica"/>
          <w:sz w:val="20"/>
          <w:szCs w:val="20"/>
          <w:lang w:val="en-GB"/>
        </w:rPr>
        <w:t>are the measured values of various parts of a process which are being monitored or controlled.</w:t>
      </w:r>
    </w:p>
    <w:p w14:paraId="64BD4BF1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Quality by design </w:t>
      </w:r>
      <w:r>
        <w:rPr>
          <w:rFonts w:ascii="Corbel" w:hAnsi="Corbel"/>
          <w:sz w:val="20"/>
          <w:szCs w:val="20"/>
          <w:lang w:val="en-GB"/>
        </w:rPr>
        <w:t>is an approach that aims to ensure product quality by employing statistical, analytical, and risk-management methodology in the design, development and manufacturing of medicines.</w:t>
      </w:r>
    </w:p>
    <w:p w14:paraId="4D175BA1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Quality control </w:t>
      </w:r>
      <w:r>
        <w:rPr>
          <w:rFonts w:ascii="Corbel" w:hAnsi="Corbel"/>
          <w:sz w:val="20"/>
          <w:szCs w:val="20"/>
          <w:lang w:val="en-GB"/>
        </w:rPr>
        <w:t>is a process by which regulatory entities review the quality of all factors involved in production.</w:t>
      </w:r>
    </w:p>
    <w:p w14:paraId="14230BBA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Risk-based approach </w:t>
      </w:r>
      <w:r>
        <w:rPr>
          <w:rFonts w:ascii="Corbel" w:hAnsi="Corbel"/>
          <w:sz w:val="20"/>
          <w:szCs w:val="20"/>
          <w:lang w:val="en-GB"/>
        </w:rPr>
        <w:t>is an approach that allows identification of potential risks of a process and develop strategies to avoid or alleviate them.</w:t>
      </w:r>
    </w:p>
    <w:p w14:paraId="1F85A90D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eastAsia="Helvetica" w:hAnsi="Corbel" w:cs="Helvetica"/>
          <w:b/>
          <w:bCs/>
          <w:sz w:val="20"/>
          <w:szCs w:val="20"/>
          <w:lang w:val="en-GB"/>
        </w:rPr>
        <w:t xml:space="preserve">Soft sensing </w:t>
      </w:r>
      <w:r>
        <w:rPr>
          <w:rFonts w:ascii="Corbel" w:eastAsia="Helvetica" w:hAnsi="Corbel" w:cs="Helvetica"/>
          <w:sz w:val="20"/>
          <w:szCs w:val="20"/>
          <w:lang w:val="en-GB"/>
        </w:rPr>
        <w:t>is a method that uses a software mathematical model to predict difficult to measure response variables.</w:t>
      </w:r>
      <w:r>
        <w:rPr>
          <w:rFonts w:ascii="Corbel" w:hAnsi="Corbel"/>
          <w:sz w:val="20"/>
          <w:szCs w:val="20"/>
          <w:lang w:val="en-GB"/>
        </w:rPr>
        <w:t xml:space="preserve"> </w:t>
      </w:r>
      <w:r>
        <w:rPr>
          <w:rFonts w:ascii="Corbel" w:eastAsia="Helvetica" w:hAnsi="Corbel" w:cs="Helvetica"/>
          <w:sz w:val="20"/>
          <w:szCs w:val="20"/>
          <w:lang w:val="en-GB"/>
        </w:rPr>
        <w:t>For example, the prediction of cell growth based on nutrient consumption rates in a biochemical process.</w:t>
      </w:r>
    </w:p>
    <w:p w14:paraId="65B32054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eastAsiaTheme="minorEastAsia" w:hAnsi="Corbel"/>
          <w:b/>
          <w:bCs/>
          <w:sz w:val="20"/>
          <w:szCs w:val="20"/>
          <w:lang w:val="en-GB"/>
        </w:rPr>
        <w:t xml:space="preserve">Somatic-cell therapy medicinal products </w:t>
      </w:r>
      <w:r>
        <w:rPr>
          <w:rFonts w:ascii="Corbel" w:eastAsiaTheme="minorEastAsia" w:hAnsi="Corbel"/>
          <w:sz w:val="20"/>
          <w:szCs w:val="20"/>
          <w:lang w:val="en-GB"/>
        </w:rPr>
        <w:t>contain non-germinal cells or tissues that have been manipulated to change their biological characteristics to cure, diagnose or prevent disease.</w:t>
      </w:r>
    </w:p>
    <w:p w14:paraId="23EC10BB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eastAsiaTheme="minorEastAsia" w:hAnsi="Corbel"/>
          <w:b/>
          <w:sz w:val="20"/>
          <w:szCs w:val="20"/>
          <w:lang w:val="en-GB"/>
        </w:rPr>
        <w:t xml:space="preserve">Tissue-engineered medicinal products </w:t>
      </w:r>
      <w:r>
        <w:rPr>
          <w:rFonts w:ascii="Corbel" w:eastAsiaTheme="minorEastAsia" w:hAnsi="Corbel"/>
          <w:bCs/>
          <w:sz w:val="20"/>
          <w:szCs w:val="20"/>
          <w:lang w:val="en-GB"/>
        </w:rPr>
        <w:t>same as Tissue-engineered product</w:t>
      </w:r>
      <w:r>
        <w:rPr>
          <w:rFonts w:ascii="Corbel" w:eastAsiaTheme="minorEastAsia" w:hAnsi="Corbel"/>
          <w:b/>
          <w:sz w:val="20"/>
          <w:szCs w:val="20"/>
          <w:lang w:val="en-GB"/>
        </w:rPr>
        <w:t>.</w:t>
      </w:r>
    </w:p>
    <w:p w14:paraId="324AA416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Tissue-engineered product </w:t>
      </w:r>
      <w:r>
        <w:rPr>
          <w:rFonts w:ascii="Corbel" w:hAnsi="Corbel"/>
          <w:sz w:val="20"/>
          <w:szCs w:val="20"/>
          <w:lang w:val="en-GB"/>
        </w:rPr>
        <w:t>is a therapeutic product containing engineered cells or tissues, which is intended to regenerate, repair or replace a human tissue.</w:t>
      </w:r>
    </w:p>
    <w:p w14:paraId="7485A4C6" w14:textId="77777777" w:rsidR="000F1466" w:rsidRDefault="000F1466" w:rsidP="000F1466">
      <w:pPr>
        <w:spacing w:before="0" w:after="0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  <w:lang w:val="en-GB"/>
        </w:rPr>
        <w:t xml:space="preserve">Unit operation </w:t>
      </w:r>
      <w:r>
        <w:rPr>
          <w:rFonts w:ascii="Corbel" w:hAnsi="Corbel"/>
          <w:sz w:val="20"/>
          <w:szCs w:val="20"/>
          <w:lang w:val="en-GB"/>
        </w:rPr>
        <w:t xml:space="preserve">is a single step in a manufacturing process. A manufacturing or biological process is usually the combination of two or more-unit operations. </w:t>
      </w:r>
    </w:p>
    <w:p w14:paraId="460F3664" w14:textId="77777777" w:rsidR="000F1466" w:rsidRDefault="000F1466" w:rsidP="000F1466">
      <w:pPr>
        <w:spacing w:before="0" w:after="0"/>
        <w:rPr>
          <w:rFonts w:ascii="Corbel" w:hAnsi="Corbel" w:cs="Calibri"/>
          <w:i/>
          <w:iCs/>
          <w:color w:val="000000"/>
          <w:sz w:val="20"/>
          <w:szCs w:val="20"/>
        </w:rPr>
      </w:pPr>
    </w:p>
    <w:p w14:paraId="50A67AE9" w14:textId="77777777" w:rsidR="000F1466" w:rsidRDefault="000F1466" w:rsidP="000F1466">
      <w:pPr>
        <w:spacing w:before="0" w:after="0"/>
        <w:contextualSpacing/>
        <w:rPr>
          <w:rFonts w:ascii="Corbel" w:hAnsi="Corbel" w:cs="Arial"/>
          <w:sz w:val="20"/>
          <w:szCs w:val="20"/>
        </w:rPr>
      </w:pPr>
      <w:bookmarkStart w:id="1" w:name="_Hlk102417204"/>
      <w:bookmarkStart w:id="2" w:name="_Hlk102417079"/>
      <w:bookmarkEnd w:id="0"/>
      <w:r>
        <w:rPr>
          <w:rFonts w:ascii="Corbel" w:hAnsi="Corbel" w:cs="Arial"/>
          <w:sz w:val="20"/>
          <w:szCs w:val="20"/>
        </w:rPr>
        <w:t xml:space="preserve">© Jan de Boer. All glossaries can be found at </w:t>
      </w:r>
      <w:hyperlink r:id="rId4" w:history="1">
        <w:r>
          <w:rPr>
            <w:rStyle w:val="Hyperlink"/>
            <w:rFonts w:cs="Arial"/>
            <w:sz w:val="20"/>
            <w:szCs w:val="20"/>
          </w:rPr>
          <w:t>www.jandeboerlab.com/TissueEngineering</w:t>
        </w:r>
      </w:hyperlink>
      <w:r>
        <w:rPr>
          <w:rFonts w:ascii="Corbel" w:hAnsi="Corbel" w:cs="Arial"/>
          <w:sz w:val="20"/>
          <w:szCs w:val="20"/>
        </w:rPr>
        <w:t>.</w:t>
      </w:r>
      <w:bookmarkEnd w:id="1"/>
    </w:p>
    <w:bookmarkEnd w:id="2"/>
    <w:p w14:paraId="1DC61BA8" w14:textId="77777777" w:rsidR="000F1466" w:rsidRDefault="000F1466" w:rsidP="000F1466">
      <w:pPr>
        <w:spacing w:before="0" w:after="0"/>
        <w:rPr>
          <w:rFonts w:ascii="Corbel" w:eastAsia="Times New Roman" w:hAnsi="Corbel" w:cs="Calibri"/>
          <w:color w:val="000000"/>
          <w:sz w:val="20"/>
          <w:szCs w:val="20"/>
          <w:lang w:eastAsia="nl-NL"/>
        </w:rPr>
      </w:pPr>
      <w:r>
        <w:rPr>
          <w:rFonts w:ascii="Corbel" w:eastAsia="Times New Roman" w:hAnsi="Corbel" w:cs="Calibri"/>
          <w:color w:val="000000"/>
          <w:sz w:val="20"/>
          <w:szCs w:val="20"/>
          <w:lang w:eastAsia="nl-NL"/>
        </w:rPr>
        <w:t>Some of this definitions were freely obtained and paraphrased from Wikipedia and Google.</w:t>
      </w:r>
    </w:p>
    <w:p w14:paraId="329A7168" w14:textId="77777777" w:rsidR="00427195" w:rsidRDefault="00427195" w:rsidP="000F1466">
      <w:pPr>
        <w:spacing w:before="0" w:after="0"/>
      </w:pPr>
    </w:p>
    <w:sectPr w:rsidR="0042719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E"/>
    <w:rsid w:val="0008186E"/>
    <w:rsid w:val="000F1466"/>
    <w:rsid w:val="00427195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D4AB"/>
  <w15:chartTrackingRefBased/>
  <w15:docId w15:val="{4154241B-E323-47C1-8D0F-787F7D4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186E"/>
    <w:pPr>
      <w:spacing w:before="120" w:after="120" w:line="240" w:lineRule="auto"/>
      <w:jc w:val="both"/>
    </w:pPr>
    <w:rPr>
      <w:rFonts w:ascii="Helvetica" w:hAnsi="Helvetica"/>
      <w:sz w:val="24"/>
      <w:szCs w:val="24"/>
      <w:lang w:val="en-US"/>
    </w:rPr>
  </w:style>
  <w:style w:type="paragraph" w:styleId="Kop1">
    <w:name w:val="heading 1"/>
    <w:basedOn w:val="Bijschrift"/>
    <w:next w:val="Standaard"/>
    <w:link w:val="Kop1Char"/>
    <w:uiPriority w:val="9"/>
    <w:qFormat/>
    <w:rsid w:val="0008186E"/>
    <w:pPr>
      <w:keepNext/>
      <w:spacing w:after="0"/>
      <w:outlineLvl w:val="0"/>
    </w:pPr>
    <w:rPr>
      <w:rFonts w:ascii="Corbel" w:hAnsi="Corbel"/>
      <w:b/>
      <w:bCs/>
      <w:i w:val="0"/>
      <w:iCs w:val="0"/>
      <w:color w:val="000000" w:themeColor="text1"/>
      <w:sz w:val="23"/>
      <w:szCs w:val="23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8186E"/>
    <w:rPr>
      <w:rFonts w:ascii="Corbel" w:hAnsi="Corbel"/>
      <w:b/>
      <w:bCs/>
      <w:color w:val="000000" w:themeColor="text1"/>
      <w:sz w:val="23"/>
      <w:szCs w:val="23"/>
      <w:lang w:val="en-GB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8186E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0F1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2022-05-13T13:50:00Z</dcterms:created>
  <dcterms:modified xsi:type="dcterms:W3CDTF">2022-05-23T17:57:00Z</dcterms:modified>
</cp:coreProperties>
</file>