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5984" w14:textId="77777777" w:rsidR="003B7B6E" w:rsidRPr="00D6438A" w:rsidRDefault="003B7B6E" w:rsidP="003B7B6E">
      <w:pPr>
        <w:pStyle w:val="Kop1"/>
      </w:pPr>
      <w:r w:rsidRPr="00D6438A">
        <w:t>Glossary</w:t>
      </w:r>
    </w:p>
    <w:p w14:paraId="5E7C9699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Active substance file </w:t>
      </w:r>
      <w:r>
        <w:rPr>
          <w:rFonts w:ascii="Corbel" w:hAnsi="Corbel"/>
          <w:sz w:val="20"/>
          <w:szCs w:val="20"/>
        </w:rPr>
        <w:t>holds confidential intellectual property or 'know-how' of the manufacturer of the active substance of a drug.</w:t>
      </w:r>
    </w:p>
    <w:p w14:paraId="6CAA4904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Advanced Therapeutic Medicinal Products (ATMP) </w:t>
      </w:r>
      <w:r>
        <w:rPr>
          <w:rFonts w:ascii="Corbel" w:hAnsi="Corbel"/>
          <w:sz w:val="20"/>
          <w:szCs w:val="20"/>
        </w:rPr>
        <w:t>are advanced therapeutic drugs that are based on cell therapy or gene therapy (sometimes in combination with a medical device).</w:t>
      </w:r>
    </w:p>
    <w:p w14:paraId="5BC00BB2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Adverse events</w:t>
      </w:r>
      <w:r>
        <w:rPr>
          <w:rFonts w:ascii="Corbel" w:hAnsi="Corbel"/>
          <w:sz w:val="20"/>
          <w:szCs w:val="20"/>
        </w:rPr>
        <w:t xml:space="preserve"> are undesired medical occurrences in a patient or clinical investigation subject after the administration of a pharmaceutical product. An adverse event or effect does not necessarily have a causal relationship with the treatment.</w:t>
      </w:r>
    </w:p>
    <w:p w14:paraId="718DA592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Allometric scaling</w:t>
      </w:r>
      <w:r>
        <w:rPr>
          <w:rFonts w:ascii="Corbel" w:hAnsi="Corbel"/>
          <w:sz w:val="20"/>
          <w:szCs w:val="20"/>
        </w:rPr>
        <w:t xml:space="preserve"> is a prediction method to provide a “sneak peek” at how a product might behave in humans before any clinical studies are conducted.</w:t>
      </w:r>
    </w:p>
    <w:p w14:paraId="6215C02F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Bio-distribution </w:t>
      </w:r>
      <w:r>
        <w:rPr>
          <w:rFonts w:ascii="Corbel" w:hAnsi="Corbel"/>
          <w:sz w:val="20"/>
          <w:szCs w:val="20"/>
        </w:rPr>
        <w:t>is where compounds of interest travel in an experimental animal or human subject.</w:t>
      </w:r>
    </w:p>
    <w:p w14:paraId="777AA582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Biomechanical limitations </w:t>
      </w:r>
      <w:r>
        <w:rPr>
          <w:rFonts w:ascii="Corbel" w:hAnsi="Corbel"/>
          <w:sz w:val="20"/>
          <w:szCs w:val="20"/>
        </w:rPr>
        <w:t>pertain to the geometric properties of the musculoskeletal system and the stiffness properties of the tissues within this system that affect the movement of an individual.</w:t>
      </w:r>
    </w:p>
    <w:p w14:paraId="372C75A5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Cellular and tissue-based products</w:t>
      </w:r>
      <w:r>
        <w:rPr>
          <w:rFonts w:ascii="Corbel" w:hAnsi="Corbel"/>
          <w:sz w:val="20"/>
          <w:szCs w:val="20"/>
        </w:rPr>
        <w:t xml:space="preserve"> are products containing or consisting of (human) cells or tissues which are intended for implantation, transplantation, infusion or transfer to a human recipient.</w:t>
      </w:r>
    </w:p>
    <w:p w14:paraId="3FAA19E0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Clinical directive </w:t>
      </w:r>
      <w:r>
        <w:rPr>
          <w:rFonts w:ascii="Corbel" w:hAnsi="Corbel"/>
          <w:sz w:val="20"/>
          <w:szCs w:val="20"/>
        </w:rPr>
        <w:t>is a European Union directive aimed at facilitating the internal market of medicinal products within the European Union.</w:t>
      </w:r>
    </w:p>
    <w:p w14:paraId="7BAF8588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Comorbidities</w:t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 w:cs="Arial"/>
          <w:sz w:val="20"/>
          <w:szCs w:val="20"/>
          <w:shd w:val="clear" w:color="auto" w:fill="FFFFFF"/>
        </w:rPr>
        <w:t>are the presence of one or more additional conditions often co-occurring with a primary condition</w:t>
      </w:r>
    </w:p>
    <w:p w14:paraId="17A2A679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Comparator</w:t>
      </w:r>
      <w:r>
        <w:rPr>
          <w:rFonts w:ascii="Corbel" w:hAnsi="Corbel"/>
          <w:sz w:val="20"/>
          <w:szCs w:val="20"/>
        </w:rPr>
        <w:t xml:space="preserve"> is the currently accepted standard treatment for the specific clinical problem to be investigated.</w:t>
      </w:r>
    </w:p>
    <w:p w14:paraId="55D9315E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Double-blind process</w:t>
      </w:r>
      <w:r>
        <w:rPr>
          <w:rFonts w:ascii="Corbel" w:hAnsi="Corbel"/>
          <w:sz w:val="20"/>
          <w:szCs w:val="20"/>
        </w:rPr>
        <w:t xml:space="preserve"> is a step in experimental design in which neither the participants nor the experimenters know who is receiving a particular treatment. </w:t>
      </w:r>
    </w:p>
    <w:p w14:paraId="0847D2F2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Endpoint</w:t>
      </w:r>
      <w:r>
        <w:rPr>
          <w:rFonts w:ascii="Corbel" w:hAnsi="Corbel"/>
          <w:sz w:val="20"/>
          <w:szCs w:val="20"/>
        </w:rPr>
        <w:t> (in clinical research) is a disease state, symptom, or sign that constitutes one of the target outcomes of the trial or its participants.</w:t>
      </w:r>
    </w:p>
    <w:p w14:paraId="467441B0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Good Clinical Practice (GCP) </w:t>
      </w:r>
      <w:r>
        <w:rPr>
          <w:rFonts w:ascii="Corbel" w:hAnsi="Corbel"/>
          <w:sz w:val="20"/>
          <w:szCs w:val="20"/>
        </w:rPr>
        <w:t>is an international quality standard, which governments can use to transpose into regulations for clinical trials involving human subjects.</w:t>
      </w:r>
    </w:p>
    <w:p w14:paraId="7508EA7B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Health Technology Assessment (HTA) </w:t>
      </w:r>
      <w:r>
        <w:rPr>
          <w:rFonts w:ascii="Corbel" w:hAnsi="Corbel"/>
          <w:sz w:val="20"/>
          <w:szCs w:val="20"/>
        </w:rPr>
        <w:t>is a multidisciplinary process that uses systematic and explicit methods to evaluate the properties and effects of a medical technology.</w:t>
      </w:r>
    </w:p>
    <w:p w14:paraId="72185FF3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Hospital Exemption</w:t>
      </w:r>
      <w:r>
        <w:rPr>
          <w:rFonts w:ascii="Corbel" w:hAnsi="Corbel"/>
          <w:sz w:val="20"/>
          <w:szCs w:val="20"/>
        </w:rPr>
        <w:t> is a pathway (only in Europe) to enable patients to receive an Advanced Therapy Medicinal Product (ATMP) from a clinician under controlled conditions in cases where no centrally authorized medicinal products are available for an indication with a high unmet medical need.</w:t>
      </w:r>
    </w:p>
    <w:p w14:paraId="2C25E371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Informed consent </w:t>
      </w:r>
      <w:r>
        <w:rPr>
          <w:rFonts w:ascii="Corbel" w:hAnsi="Corbel"/>
          <w:sz w:val="20"/>
          <w:szCs w:val="20"/>
        </w:rPr>
        <w:t>is a principle in medical ethics and medical law that consists of sharing sufficient information with a patient so he/she can make a free and well-informed decision about his/her medical care.</w:t>
      </w:r>
    </w:p>
    <w:p w14:paraId="44932AC3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Market Approval </w:t>
      </w:r>
      <w:r>
        <w:rPr>
          <w:rFonts w:ascii="Corbel" w:hAnsi="Corbel"/>
          <w:sz w:val="20"/>
          <w:szCs w:val="20"/>
        </w:rPr>
        <w:t>is the process of reviewing and assessing the evidence to support the use of a medicinal product, such as a drug, in relation to its marketing. This process ends by granting a license to sell the product.</w:t>
      </w:r>
    </w:p>
    <w:p w14:paraId="5CDC43F8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Medical device </w:t>
      </w:r>
      <w:r>
        <w:rPr>
          <w:rFonts w:ascii="Corbel" w:hAnsi="Corbel"/>
          <w:sz w:val="20"/>
          <w:szCs w:val="20"/>
        </w:rPr>
        <w:t>is any instrument, apparatus, appliance, software, or material used alone or in combination with another device for diagnostic and/or therapeutic uses.</w:t>
      </w:r>
    </w:p>
    <w:p w14:paraId="092865BA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Mode of action</w:t>
      </w:r>
      <w:r>
        <w:rPr>
          <w:rFonts w:ascii="Corbel" w:hAnsi="Corbel" w:cs="Arial"/>
          <w:color w:val="202122"/>
          <w:sz w:val="20"/>
          <w:szCs w:val="20"/>
          <w:shd w:val="clear" w:color="auto" w:fill="FFFFFF"/>
        </w:rPr>
        <w:t xml:space="preserve"> </w:t>
      </w:r>
      <w:r>
        <w:rPr>
          <w:rFonts w:ascii="Corbel" w:hAnsi="Corbel"/>
          <w:sz w:val="20"/>
          <w:szCs w:val="20"/>
        </w:rPr>
        <w:t>describes how a treatment works, what is the underlying mechanism resulting from the exposure of a living organism to a substance.</w:t>
      </w:r>
    </w:p>
    <w:p w14:paraId="6DD341DF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Notified Bodies </w:t>
      </w:r>
      <w:r>
        <w:rPr>
          <w:rFonts w:ascii="Corbel" w:hAnsi="Corbel"/>
          <w:sz w:val="20"/>
          <w:szCs w:val="20"/>
        </w:rPr>
        <w:t>are organizations in the European Union designated by a member state to assess the conformity of certain products, before being placed on the EU market, with the applicable essential requirements including a technical dossier and data management systems.</w:t>
      </w:r>
    </w:p>
    <w:p w14:paraId="5C92F5C8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Phase I, human pharmacology</w:t>
      </w:r>
      <w:r>
        <w:rPr>
          <w:rFonts w:ascii="Corbel" w:hAnsi="Corbel"/>
          <w:sz w:val="20"/>
          <w:szCs w:val="20"/>
        </w:rPr>
        <w:t xml:space="preserve"> (phase)</w:t>
      </w:r>
      <w:r>
        <w:rPr>
          <w:rFonts w:ascii="Corbel" w:hAnsi="Corbel"/>
          <w:b/>
          <w:bCs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is the first stage of testing in human subjects, designed to test the safety, side effects, dose and formulation method for the drug.</w:t>
      </w:r>
    </w:p>
    <w:p w14:paraId="0CEBD78B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Phase II, therapeutic exploratory </w:t>
      </w:r>
      <w:r>
        <w:rPr>
          <w:rFonts w:ascii="Corbel" w:hAnsi="Corbel"/>
          <w:sz w:val="20"/>
          <w:szCs w:val="20"/>
        </w:rPr>
        <w:t>(phase) is performed on larger group of human subjects (50–300) to assess how well the drug works and the optimal dose and to continue Phase I safety assessments in a larger group of volunteers and patients.</w:t>
      </w:r>
    </w:p>
    <w:p w14:paraId="4EB8B9D3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Phase III, therapeutic confirmatory </w:t>
      </w:r>
      <w:r>
        <w:rPr>
          <w:rFonts w:ascii="Corbel" w:hAnsi="Corbel"/>
          <w:sz w:val="20"/>
          <w:szCs w:val="20"/>
        </w:rPr>
        <w:t>(phase)</w:t>
      </w:r>
      <w:r>
        <w:rPr>
          <w:rFonts w:ascii="Corbel" w:hAnsi="Corbel"/>
          <w:b/>
          <w:bCs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also called pivotal trial as definitive assessment of drug efficacy and safety in comparison with a current 'gold standard' treatment.</w:t>
      </w:r>
    </w:p>
    <w:p w14:paraId="1FBDB4B0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Phase IV studies </w:t>
      </w:r>
      <w:r>
        <w:rPr>
          <w:rFonts w:ascii="Corbel" w:hAnsi="Corbel"/>
          <w:sz w:val="20"/>
          <w:szCs w:val="20"/>
        </w:rPr>
        <w:t>are done to assure long-term safety and effectiveness of the drug, vaccine, device or diagnostic test.</w:t>
      </w:r>
    </w:p>
    <w:p w14:paraId="4BC98008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Potency assay</w:t>
      </w:r>
      <w:r>
        <w:rPr>
          <w:rFonts w:ascii="Corbel" w:hAnsi="Corbel"/>
          <w:sz w:val="20"/>
          <w:szCs w:val="20"/>
        </w:rPr>
        <w:t xml:space="preserve"> is the quantitative measure of the presumed biological activity relevant to the outcome, ideally it measures the ability of the product to elicit a specific clinical response.</w:t>
      </w:r>
    </w:p>
    <w:p w14:paraId="0C418050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Preclinical</w:t>
      </w:r>
      <w:r>
        <w:rPr>
          <w:rFonts w:ascii="Corbel" w:hAnsi="Corbel"/>
          <w:sz w:val="20"/>
          <w:szCs w:val="20"/>
        </w:rPr>
        <w:t xml:space="preserve"> is a stage of research that begins before clinical trials (testing in humans) and during which important feasibility, iterative testing and drug safety data are collected, typically in in vitro/ex vivo models and in vivo laboratory animals.</w:t>
      </w:r>
    </w:p>
    <w:p w14:paraId="47E42287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Protocol</w:t>
      </w:r>
      <w:r>
        <w:rPr>
          <w:rFonts w:ascii="Corbel" w:hAnsi="Corbel"/>
          <w:sz w:val="20"/>
          <w:szCs w:val="20"/>
        </w:rPr>
        <w:t xml:space="preserve"> is the key document that contains all information on the conduct of the specific trial.</w:t>
      </w:r>
    </w:p>
    <w:p w14:paraId="160D67FE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lastRenderedPageBreak/>
        <w:t>Quality Attributes</w:t>
      </w:r>
      <w:r>
        <w:rPr>
          <w:rFonts w:ascii="Corbel" w:hAnsi="Corbel"/>
          <w:sz w:val="20"/>
          <w:szCs w:val="20"/>
        </w:rPr>
        <w:t xml:space="preserve"> are measurable or testable properties of a process used to indicate how well the process performs to manufacture a well-defined product.</w:t>
      </w:r>
    </w:p>
    <w:p w14:paraId="1B5B31AD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Quality management system </w:t>
      </w:r>
      <w:r>
        <w:rPr>
          <w:rFonts w:ascii="Corbel" w:hAnsi="Corbel"/>
          <w:sz w:val="20"/>
          <w:szCs w:val="20"/>
        </w:rPr>
        <w:t>is a collection of processes focused on consistently meeting customer and product requirements and enhancing their satisfaction.</w:t>
      </w:r>
    </w:p>
    <w:p w14:paraId="148D6862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Randomization</w:t>
      </w:r>
      <w:r>
        <w:rPr>
          <w:rFonts w:ascii="Corbel" w:hAnsi="Corbel"/>
          <w:sz w:val="20"/>
          <w:szCs w:val="20"/>
        </w:rPr>
        <w:t xml:space="preserve"> is a sequence of random variables describing a process whose outcomes do not follow an evolution described by probability distributions. </w:t>
      </w:r>
    </w:p>
    <w:p w14:paraId="0FEA235D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Randomized Controlled Trials </w:t>
      </w:r>
      <w:r>
        <w:rPr>
          <w:rFonts w:ascii="Corbel" w:hAnsi="Corbel"/>
          <w:sz w:val="20"/>
          <w:szCs w:val="20"/>
        </w:rPr>
        <w:t>are a form of clinical trial used to control factors not under direct experimental control. Example: Clinical trials that compare the effects of drugs, surgical techniques, medical devices, diagnostic procedures or other medical treatments.</w:t>
      </w:r>
    </w:p>
    <w:p w14:paraId="245B5D43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Regenerative medicine </w:t>
      </w:r>
      <w:r>
        <w:rPr>
          <w:rFonts w:ascii="Corbel" w:hAnsi="Corbel"/>
          <w:sz w:val="20"/>
          <w:szCs w:val="20"/>
        </w:rPr>
        <w:t>deals with the process of replacing, engineering or regenerating human or animal cells, tissues, or organs to restore or establish normal function.</w:t>
      </w:r>
    </w:p>
    <w:p w14:paraId="601588D6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Regulation </w:t>
      </w:r>
      <w:r>
        <w:rPr>
          <w:rFonts w:ascii="Corbel" w:hAnsi="Corbel"/>
          <w:sz w:val="20"/>
          <w:szCs w:val="20"/>
        </w:rPr>
        <w:t>in the context of marketing a product,</w:t>
      </w:r>
      <w:r>
        <w:rPr>
          <w:rFonts w:ascii="Corbel" w:hAnsi="Corbel"/>
          <w:b/>
          <w:bCs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t>harmonizes the assessment and supervision of processes for clinical trials throughout the European Union, via a Clinical Trials Information System.</w:t>
      </w:r>
    </w:p>
    <w:p w14:paraId="352F6E1B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Staged clinical trials </w:t>
      </w:r>
      <w:r>
        <w:rPr>
          <w:rFonts w:ascii="Corbel" w:hAnsi="Corbel"/>
          <w:sz w:val="20"/>
          <w:szCs w:val="20"/>
        </w:rPr>
        <w:t>are distinct phases of clinical research in which scientists conduct experiments with a health intervention to obtain sufficient evidence for a process considered effective as a medical treatment.</w:t>
      </w:r>
    </w:p>
    <w:p w14:paraId="779FDF04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Standard operating procedures (SOPs)</w:t>
      </w:r>
      <w:r>
        <w:rPr>
          <w:rFonts w:ascii="Corbel" w:hAnsi="Corbel"/>
          <w:sz w:val="20"/>
          <w:szCs w:val="20"/>
        </w:rPr>
        <w:t xml:space="preserve"> are sets of step-by-step instructions compiled by an organization to help workers carry out routine operations to become user independent, thus robust, and reproducible.</w:t>
      </w:r>
    </w:p>
    <w:p w14:paraId="4B3B9B28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Statistical power</w:t>
      </w:r>
      <w:r>
        <w:rPr>
          <w:rFonts w:ascii="Corbel" w:hAnsi="Corbel"/>
          <w:sz w:val="20"/>
          <w:szCs w:val="20"/>
        </w:rPr>
        <w:t>, usually expressed in percentages</w:t>
      </w:r>
      <w:r>
        <w:rPr>
          <w:rFonts w:ascii="Corbel" w:hAnsi="Corbel"/>
          <w:b/>
          <w:bCs/>
          <w:sz w:val="20"/>
          <w:szCs w:val="20"/>
        </w:rPr>
        <w:t xml:space="preserve">, </w:t>
      </w:r>
      <w:r>
        <w:rPr>
          <w:rFonts w:ascii="Corbel" w:hAnsi="Corbel"/>
          <w:sz w:val="20"/>
          <w:szCs w:val="20"/>
        </w:rPr>
        <w:t>is the probability that the test correctly rejects the null hypothesis when a specific alternative hypothesis is true.</w:t>
      </w:r>
    </w:p>
    <w:p w14:paraId="48BC2D5D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Technical product documentation </w:t>
      </w:r>
      <w:r>
        <w:rPr>
          <w:rFonts w:ascii="Corbel" w:hAnsi="Corbel"/>
          <w:sz w:val="20"/>
          <w:szCs w:val="20"/>
        </w:rPr>
        <w:t>refers to any document that explains the use, functionality, production or architecture of a product.</w:t>
      </w:r>
    </w:p>
    <w:p w14:paraId="76252ED6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>Technology Readiness Level</w:t>
      </w:r>
      <w:r>
        <w:rPr>
          <w:rFonts w:ascii="Corbel" w:hAnsi="Corbel"/>
          <w:sz w:val="20"/>
          <w:szCs w:val="20"/>
        </w:rPr>
        <w:t xml:space="preserve">(s) </w:t>
      </w:r>
      <w:r>
        <w:rPr>
          <w:rFonts w:ascii="Corbel" w:hAnsi="Corbel"/>
          <w:b/>
          <w:bCs/>
          <w:sz w:val="20"/>
          <w:szCs w:val="20"/>
        </w:rPr>
        <w:t>(TLR)</w:t>
      </w:r>
      <w:r>
        <w:rPr>
          <w:rFonts w:ascii="Corbel" w:hAnsi="Corbel"/>
          <w:sz w:val="20"/>
          <w:szCs w:val="20"/>
        </w:rPr>
        <w:t xml:space="preserve"> are a method for estimating the technical maturity of a technology during its development.</w:t>
      </w:r>
    </w:p>
    <w:p w14:paraId="0B82B0B8" w14:textId="77777777" w:rsidR="00750505" w:rsidRDefault="00750505" w:rsidP="00750505">
      <w:pPr>
        <w:spacing w:after="0" w:line="240" w:lineRule="auto"/>
        <w:jc w:val="both"/>
        <w:rPr>
          <w:rFonts w:ascii="Corbel" w:hAnsi="Corbel"/>
          <w:b/>
          <w:bCs/>
          <w:sz w:val="20"/>
          <w:szCs w:val="20"/>
        </w:rPr>
      </w:pPr>
      <w:r>
        <w:rPr>
          <w:rFonts w:ascii="Corbel" w:hAnsi="Corbel"/>
          <w:b/>
          <w:bCs/>
          <w:sz w:val="20"/>
          <w:szCs w:val="20"/>
        </w:rPr>
        <w:t xml:space="preserve">Tissue engineering </w:t>
      </w:r>
      <w:r>
        <w:rPr>
          <w:rFonts w:ascii="Corbel" w:hAnsi="Corbel"/>
          <w:sz w:val="20"/>
          <w:szCs w:val="20"/>
        </w:rPr>
        <w:t>is a discipline that uses a combination of cells, engineering, materials methods, and suitable biochemical and physicochemical factors to restore, maintain, improve, or replace different types of biological tissues.</w:t>
      </w:r>
    </w:p>
    <w:p w14:paraId="2FC248C1" w14:textId="77777777" w:rsidR="00750505" w:rsidRDefault="00750505" w:rsidP="00750505">
      <w:pPr>
        <w:spacing w:after="0"/>
        <w:rPr>
          <w:rFonts w:ascii="Corbel" w:hAnsi="Corbel" w:cs="Calibri"/>
          <w:i/>
          <w:iCs/>
          <w:color w:val="000000"/>
          <w:sz w:val="20"/>
          <w:szCs w:val="20"/>
        </w:rPr>
      </w:pPr>
    </w:p>
    <w:p w14:paraId="4B6DD9A5" w14:textId="77777777" w:rsidR="00750505" w:rsidRDefault="00750505" w:rsidP="00750505">
      <w:pPr>
        <w:spacing w:line="240" w:lineRule="auto"/>
        <w:contextualSpacing/>
        <w:rPr>
          <w:rFonts w:ascii="Corbel" w:hAnsi="Corbel" w:cs="Arial"/>
          <w:sz w:val="20"/>
          <w:szCs w:val="20"/>
        </w:rPr>
      </w:pPr>
      <w:bookmarkStart w:id="0" w:name="_Hlk102417204"/>
      <w:bookmarkStart w:id="1" w:name="_Hlk102417079"/>
      <w:r>
        <w:rPr>
          <w:rFonts w:ascii="Corbel" w:hAnsi="Corbel" w:cs="Arial"/>
          <w:sz w:val="20"/>
          <w:szCs w:val="20"/>
        </w:rPr>
        <w:t xml:space="preserve">© Jan de Boer. All glossaries can be found at </w:t>
      </w:r>
      <w:hyperlink r:id="rId4" w:history="1">
        <w:r>
          <w:rPr>
            <w:rStyle w:val="Hyperlink"/>
            <w:rFonts w:cs="Arial"/>
            <w:sz w:val="20"/>
            <w:szCs w:val="20"/>
          </w:rPr>
          <w:t>www.jandeboerlab.com/TissueEngineering</w:t>
        </w:r>
      </w:hyperlink>
      <w:r>
        <w:rPr>
          <w:rFonts w:ascii="Corbel" w:hAnsi="Corbel" w:cs="Arial"/>
          <w:sz w:val="20"/>
          <w:szCs w:val="20"/>
        </w:rPr>
        <w:t>.</w:t>
      </w:r>
      <w:bookmarkEnd w:id="0"/>
    </w:p>
    <w:bookmarkEnd w:id="1"/>
    <w:p w14:paraId="50437E5C" w14:textId="77777777" w:rsidR="00750505" w:rsidRPr="00750505" w:rsidRDefault="00750505" w:rsidP="00750505">
      <w:pPr>
        <w:spacing w:after="0" w:line="240" w:lineRule="auto"/>
        <w:jc w:val="both"/>
        <w:rPr>
          <w:rFonts w:ascii="Corbel" w:eastAsia="Times New Roman" w:hAnsi="Corbel" w:cs="Calibri"/>
          <w:color w:val="000000"/>
          <w:sz w:val="20"/>
          <w:szCs w:val="20"/>
          <w:lang w:eastAsia="nl-NL"/>
        </w:rPr>
      </w:pPr>
      <w:r w:rsidRPr="00750505">
        <w:rPr>
          <w:rFonts w:ascii="Corbel" w:eastAsia="Times New Roman" w:hAnsi="Corbel" w:cs="Calibri"/>
          <w:color w:val="000000"/>
          <w:sz w:val="20"/>
          <w:szCs w:val="20"/>
          <w:lang w:eastAsia="nl-NL"/>
        </w:rPr>
        <w:t>Some of this definitions were freely obtained and paraphrased from Wikipedia and Google.</w:t>
      </w:r>
    </w:p>
    <w:p w14:paraId="7D89EB15" w14:textId="1FB21B38" w:rsidR="00427195" w:rsidRPr="00750505" w:rsidRDefault="00427195" w:rsidP="00750505">
      <w:pPr>
        <w:spacing w:after="0" w:line="240" w:lineRule="auto"/>
        <w:jc w:val="both"/>
        <w:rPr>
          <w:rFonts w:ascii="Corbel" w:hAnsi="Corbel"/>
          <w:b/>
          <w:sz w:val="20"/>
          <w:szCs w:val="20"/>
        </w:rPr>
      </w:pPr>
    </w:p>
    <w:sectPr w:rsidR="00427195" w:rsidRPr="00750505" w:rsidSect="00DB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6E"/>
    <w:rsid w:val="003B7B6E"/>
    <w:rsid w:val="00427195"/>
    <w:rsid w:val="00750505"/>
    <w:rsid w:val="00DB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2C79"/>
  <w15:chartTrackingRefBased/>
  <w15:docId w15:val="{E1F1D5BA-9B8E-4EBC-A505-AE62A07B8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B7B6E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B7B6E"/>
    <w:pPr>
      <w:suppressAutoHyphens/>
      <w:spacing w:after="0" w:line="259" w:lineRule="auto"/>
      <w:ind w:right="113"/>
      <w:outlineLvl w:val="0"/>
    </w:pPr>
    <w:rPr>
      <w:rFonts w:ascii="Corbel" w:hAnsi="Corbel"/>
      <w:b/>
      <w:bCs/>
      <w:sz w:val="23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7B6E"/>
    <w:rPr>
      <w:rFonts w:ascii="Corbel" w:eastAsia="Calibri" w:hAnsi="Corbel" w:cs="Times New Roman"/>
      <w:b/>
      <w:bCs/>
      <w:sz w:val="23"/>
      <w:szCs w:val="23"/>
      <w:lang w:val="en-US"/>
    </w:rPr>
  </w:style>
  <w:style w:type="character" w:styleId="Hyperlink">
    <w:name w:val="Hyperlink"/>
    <w:basedOn w:val="Standaardalinea-lettertype"/>
    <w:uiPriority w:val="99"/>
    <w:semiHidden/>
    <w:unhideWhenUsed/>
    <w:rsid w:val="00750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ndeboerlab.com/Tissue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1108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Uquillas Paredes, Jorge</dc:creator>
  <cp:keywords/>
  <dc:description/>
  <cp:lastModifiedBy>Bouwens, Anne</cp:lastModifiedBy>
  <cp:revision>2</cp:revision>
  <dcterms:created xsi:type="dcterms:W3CDTF">2022-05-13T13:52:00Z</dcterms:created>
  <dcterms:modified xsi:type="dcterms:W3CDTF">2022-05-23T17:57:00Z</dcterms:modified>
</cp:coreProperties>
</file>