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12B4A" w14:textId="77777777" w:rsidR="00D34A81" w:rsidRPr="002B3882" w:rsidRDefault="00D34A81" w:rsidP="00D34A81">
      <w:pPr>
        <w:pStyle w:val="Kop1"/>
      </w:pPr>
      <w:r w:rsidRPr="00B93B5C">
        <w:t xml:space="preserve">Glossary </w:t>
      </w:r>
    </w:p>
    <w:p w14:paraId="424A2739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sz w:val="20"/>
          <w:szCs w:val="20"/>
        </w:rPr>
      </w:pPr>
      <w:r w:rsidRPr="002B3882">
        <w:rPr>
          <w:rFonts w:ascii="Corbel" w:hAnsi="Corbel" w:cs="Times New Roman"/>
          <w:b/>
          <w:bCs/>
          <w:sz w:val="20"/>
          <w:szCs w:val="20"/>
        </w:rPr>
        <w:t xml:space="preserve">Additives </w:t>
      </w:r>
      <w:r w:rsidRPr="002B3882">
        <w:rPr>
          <w:rFonts w:ascii="Corbel" w:hAnsi="Corbel" w:cs="Times New Roman"/>
          <w:sz w:val="20"/>
          <w:szCs w:val="20"/>
        </w:rPr>
        <w:t>are substances added in small quantities to improve the quality of a product.</w:t>
      </w:r>
    </w:p>
    <w:p w14:paraId="31CF92B2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color w:val="000000" w:themeColor="text1"/>
          <w:sz w:val="20"/>
          <w:szCs w:val="20"/>
        </w:rPr>
      </w:pPr>
      <w:r w:rsidRPr="002B3882">
        <w:rPr>
          <w:rFonts w:ascii="Corbel" w:hAnsi="Corbel" w:cs="Times New Roman"/>
          <w:b/>
          <w:bCs/>
          <w:color w:val="000000" w:themeColor="text1"/>
          <w:sz w:val="20"/>
          <w:szCs w:val="20"/>
        </w:rPr>
        <w:t xml:space="preserve">Autocatalysis </w:t>
      </w:r>
      <w:r w:rsidRPr="002B3882">
        <w:rPr>
          <w:rFonts w:ascii="Corbel" w:hAnsi="Corbel" w:cs="Times New Roman"/>
          <w:color w:val="000000" w:themeColor="text1"/>
          <w:sz w:val="20"/>
          <w:szCs w:val="20"/>
        </w:rPr>
        <w:t>is where the reaction product is also a catalyst for the reaction.</w:t>
      </w:r>
    </w:p>
    <w:p w14:paraId="033B887D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color w:val="000000"/>
          <w:sz w:val="20"/>
          <w:szCs w:val="20"/>
          <w:shd w:val="clear" w:color="auto" w:fill="FFFFFF"/>
        </w:rPr>
      </w:pPr>
      <w:r w:rsidRPr="002B3882">
        <w:rPr>
          <w:rFonts w:ascii="Corbel" w:hAnsi="Corbel" w:cs="Times New Roman"/>
          <w:b/>
          <w:bCs/>
          <w:color w:val="000000"/>
          <w:sz w:val="20"/>
          <w:szCs w:val="20"/>
          <w:shd w:val="clear" w:color="auto" w:fill="FFFFFF"/>
        </w:rPr>
        <w:t xml:space="preserve">Bioactive </w:t>
      </w:r>
      <w:r w:rsidRPr="002B3882">
        <w:rPr>
          <w:rFonts w:ascii="Corbel" w:hAnsi="Corbel" w:cs="Times New Roman"/>
          <w:color w:val="000000"/>
          <w:sz w:val="20"/>
          <w:szCs w:val="20"/>
          <w:shd w:val="clear" w:color="auto" w:fill="FFFFFF"/>
        </w:rPr>
        <w:t>is having a biological effect.</w:t>
      </w:r>
    </w:p>
    <w:p w14:paraId="1DEFE460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b/>
          <w:bCs/>
          <w:sz w:val="20"/>
          <w:szCs w:val="20"/>
        </w:rPr>
      </w:pPr>
      <w:r w:rsidRPr="002B3882">
        <w:rPr>
          <w:rFonts w:ascii="Corbel" w:hAnsi="Corbel" w:cs="Times New Roman"/>
          <w:b/>
          <w:bCs/>
          <w:sz w:val="20"/>
          <w:szCs w:val="20"/>
        </w:rPr>
        <w:t xml:space="preserve">Bioceramics </w:t>
      </w:r>
      <w:r w:rsidRPr="002B3882">
        <w:rPr>
          <w:rFonts w:ascii="Corbel" w:hAnsi="Corbel" w:cs="Times New Roman"/>
          <w:sz w:val="20"/>
          <w:szCs w:val="20"/>
        </w:rPr>
        <w:t>are materials especially developed for medical and dental implants that directly interact with surrounding tissue to support tissue growth. Hydroxyapatite, alumina and zirconia are commonly used.</w:t>
      </w:r>
    </w:p>
    <w:p w14:paraId="1718FCDD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b/>
          <w:bCs/>
          <w:i/>
          <w:iCs/>
          <w:sz w:val="20"/>
          <w:szCs w:val="20"/>
        </w:rPr>
      </w:pPr>
      <w:r w:rsidRPr="002B3882">
        <w:rPr>
          <w:rFonts w:ascii="Corbel" w:hAnsi="Corbel" w:cs="Times New Roman"/>
          <w:b/>
          <w:bCs/>
          <w:sz w:val="20"/>
          <w:szCs w:val="20"/>
        </w:rPr>
        <w:t>Biodegradation</w:t>
      </w:r>
      <w:r w:rsidRPr="002B3882">
        <w:rPr>
          <w:rFonts w:ascii="Corbel" w:hAnsi="Corbel" w:cs="Times New Roman"/>
          <w:sz w:val="20"/>
          <w:szCs w:val="20"/>
        </w:rPr>
        <w:t xml:space="preserve"> is the gradual breakdown of the material mediated by specific biological activity in vivo. </w:t>
      </w:r>
    </w:p>
    <w:p w14:paraId="34A9676D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color w:val="000000"/>
          <w:sz w:val="20"/>
          <w:szCs w:val="20"/>
          <w:shd w:val="clear" w:color="auto" w:fill="FFFFFF"/>
        </w:rPr>
      </w:pPr>
      <w:r w:rsidRPr="002B3882">
        <w:rPr>
          <w:rFonts w:ascii="Corbel" w:hAnsi="Corbel" w:cs="Times New Roman"/>
          <w:b/>
          <w:bCs/>
          <w:color w:val="000000"/>
          <w:sz w:val="20"/>
          <w:szCs w:val="20"/>
          <w:shd w:val="clear" w:color="auto" w:fill="FFFFFF"/>
        </w:rPr>
        <w:t xml:space="preserve">Bioglass </w:t>
      </w:r>
      <w:r w:rsidRPr="002B3882">
        <w:rPr>
          <w:rFonts w:ascii="Corbel" w:hAnsi="Corbel" w:cs="Times New Roman"/>
          <w:color w:val="000000"/>
          <w:sz w:val="20"/>
          <w:szCs w:val="20"/>
          <w:shd w:val="clear" w:color="auto" w:fill="FFFFFF"/>
        </w:rPr>
        <w:t>is a</w:t>
      </w:r>
      <w:r w:rsidRPr="002B3882">
        <w:rPr>
          <w:rFonts w:ascii="Corbel" w:hAnsi="Corbel" w:cs="Times New Roman"/>
          <w:color w:val="2E2E2E"/>
          <w:sz w:val="20"/>
          <w:szCs w:val="20"/>
        </w:rPr>
        <w:t xml:space="preserve"> series of silica-based glasses with a three-dimensional SiO</w:t>
      </w:r>
      <w:r w:rsidRPr="002B3882">
        <w:rPr>
          <w:rFonts w:ascii="Corbel" w:hAnsi="Corbel" w:cs="Times New Roman"/>
          <w:color w:val="2E2E2E"/>
          <w:sz w:val="20"/>
          <w:szCs w:val="20"/>
          <w:vertAlign w:val="subscript"/>
        </w:rPr>
        <w:t>2</w:t>
      </w:r>
      <w:r w:rsidRPr="002B3882">
        <w:rPr>
          <w:rFonts w:ascii="Corbel" w:hAnsi="Corbel" w:cs="Times New Roman"/>
          <w:color w:val="2E2E2E"/>
          <w:sz w:val="20"/>
          <w:szCs w:val="20"/>
        </w:rPr>
        <w:t> network modified by the incorporation of Na</w:t>
      </w:r>
      <w:r w:rsidRPr="002B3882">
        <w:rPr>
          <w:rFonts w:ascii="Corbel" w:hAnsi="Corbel" w:cs="Times New Roman"/>
          <w:color w:val="2E2E2E"/>
          <w:sz w:val="20"/>
          <w:szCs w:val="20"/>
          <w:vertAlign w:val="subscript"/>
        </w:rPr>
        <w:t>2</w:t>
      </w:r>
      <w:r w:rsidRPr="002B3882">
        <w:rPr>
          <w:rFonts w:ascii="Corbel" w:hAnsi="Corbel" w:cs="Times New Roman"/>
          <w:color w:val="2E2E2E"/>
          <w:sz w:val="20"/>
          <w:szCs w:val="20"/>
        </w:rPr>
        <w:t>O, CaO, and P</w:t>
      </w:r>
      <w:r w:rsidRPr="002B3882">
        <w:rPr>
          <w:rFonts w:ascii="Corbel" w:hAnsi="Corbel" w:cs="Times New Roman"/>
          <w:color w:val="2E2E2E"/>
          <w:sz w:val="20"/>
          <w:szCs w:val="20"/>
          <w:vertAlign w:val="subscript"/>
        </w:rPr>
        <w:t>2</w:t>
      </w:r>
      <w:r w:rsidRPr="002B3882">
        <w:rPr>
          <w:rFonts w:ascii="Corbel" w:hAnsi="Corbel" w:cs="Times New Roman"/>
          <w:color w:val="2E2E2E"/>
          <w:sz w:val="20"/>
          <w:szCs w:val="20"/>
        </w:rPr>
        <w:t>O</w:t>
      </w:r>
      <w:r w:rsidRPr="002B3882">
        <w:rPr>
          <w:rFonts w:ascii="Corbel" w:hAnsi="Corbel" w:cs="Times New Roman"/>
          <w:color w:val="2E2E2E"/>
          <w:sz w:val="20"/>
          <w:szCs w:val="20"/>
          <w:vertAlign w:val="subscript"/>
        </w:rPr>
        <w:t>5</w:t>
      </w:r>
      <w:r w:rsidRPr="002B3882">
        <w:rPr>
          <w:rFonts w:ascii="Corbel" w:hAnsi="Corbel" w:cs="Times New Roman"/>
          <w:color w:val="2E2E2E"/>
          <w:sz w:val="20"/>
          <w:szCs w:val="20"/>
        </w:rPr>
        <w:t>. </w:t>
      </w:r>
    </w:p>
    <w:p w14:paraId="61F1A2D4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b/>
          <w:bCs/>
          <w:sz w:val="20"/>
          <w:szCs w:val="20"/>
        </w:rPr>
      </w:pPr>
      <w:r w:rsidRPr="002B3882">
        <w:rPr>
          <w:rFonts w:ascii="Corbel" w:hAnsi="Corbel" w:cs="Times New Roman"/>
          <w:b/>
          <w:bCs/>
          <w:sz w:val="20"/>
          <w:szCs w:val="20"/>
        </w:rPr>
        <w:t>Bioresorbable</w:t>
      </w:r>
      <w:r w:rsidRPr="002B3882">
        <w:rPr>
          <w:rFonts w:ascii="Corbel" w:hAnsi="Corbel" w:cs="Times New Roman"/>
          <w:sz w:val="20"/>
          <w:szCs w:val="20"/>
        </w:rPr>
        <w:t xml:space="preserve"> is a compound or a device that is totally eliminated or bio-assimilated through natural pathways.</w:t>
      </w:r>
      <w:r w:rsidRPr="002B3882">
        <w:rPr>
          <w:rFonts w:ascii="Corbel" w:hAnsi="Corbel" w:cs="Times New Roman"/>
          <w:i/>
          <w:iCs/>
          <w:sz w:val="20"/>
          <w:szCs w:val="20"/>
        </w:rPr>
        <w:t xml:space="preserve"> </w:t>
      </w:r>
    </w:p>
    <w:p w14:paraId="0E007DE1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sz w:val="20"/>
          <w:szCs w:val="20"/>
        </w:rPr>
      </w:pPr>
      <w:r w:rsidRPr="002B3882">
        <w:rPr>
          <w:rFonts w:ascii="Corbel" w:hAnsi="Corbel" w:cs="Times New Roman"/>
          <w:b/>
          <w:bCs/>
          <w:color w:val="000000" w:themeColor="text1"/>
          <w:sz w:val="20"/>
          <w:szCs w:val="20"/>
        </w:rPr>
        <w:t xml:space="preserve">Block copolymers </w:t>
      </w:r>
      <w:r w:rsidRPr="002B3882">
        <w:rPr>
          <w:rFonts w:ascii="Corbel" w:hAnsi="Corbel" w:cs="Times New Roman"/>
          <w:color w:val="000000" w:themeColor="text1"/>
          <w:sz w:val="20"/>
          <w:szCs w:val="20"/>
        </w:rPr>
        <w:t>are two or more homopolymer subunits (blocks) linked by covalent bonds.</w:t>
      </w:r>
    </w:p>
    <w:p w14:paraId="43E9D291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b/>
          <w:bCs/>
          <w:iCs/>
          <w:sz w:val="20"/>
          <w:szCs w:val="20"/>
        </w:rPr>
      </w:pPr>
      <w:r w:rsidRPr="002B3882">
        <w:rPr>
          <w:rFonts w:ascii="Corbel" w:hAnsi="Corbel" w:cs="Times New Roman"/>
          <w:b/>
          <w:bCs/>
          <w:iCs/>
          <w:sz w:val="20"/>
          <w:szCs w:val="20"/>
        </w:rPr>
        <w:t xml:space="preserve">Chain scission </w:t>
      </w:r>
      <w:r w:rsidRPr="002B3882">
        <w:rPr>
          <w:rFonts w:ascii="Corbel" w:hAnsi="Corbel" w:cs="Times New Roman"/>
          <w:iCs/>
          <w:sz w:val="20"/>
          <w:szCs w:val="20"/>
        </w:rPr>
        <w:t>is a term used in polymer chemistry describing the degradation of a polymer’s main chain</w:t>
      </w:r>
      <w:r w:rsidRPr="002B3882">
        <w:rPr>
          <w:rFonts w:ascii="Corbel" w:hAnsi="Corbel" w:cs="Times New Roman"/>
          <w:b/>
          <w:bCs/>
          <w:iCs/>
          <w:sz w:val="20"/>
          <w:szCs w:val="20"/>
        </w:rPr>
        <w:t>.</w:t>
      </w:r>
    </w:p>
    <w:p w14:paraId="7C3FD67E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sz w:val="20"/>
          <w:szCs w:val="20"/>
        </w:rPr>
      </w:pPr>
      <w:r w:rsidRPr="002B3882">
        <w:rPr>
          <w:rFonts w:ascii="Corbel" w:hAnsi="Corbel" w:cs="Times New Roman"/>
          <w:b/>
          <w:bCs/>
          <w:sz w:val="20"/>
          <w:szCs w:val="20"/>
        </w:rPr>
        <w:t xml:space="preserve">Critical sized bone defects </w:t>
      </w:r>
      <w:r w:rsidRPr="002B3882">
        <w:rPr>
          <w:rFonts w:ascii="Corbel" w:hAnsi="Corbel" w:cs="Times New Roman"/>
          <w:sz w:val="20"/>
          <w:szCs w:val="20"/>
        </w:rPr>
        <w:t>are</w:t>
      </w:r>
      <w:r w:rsidRPr="002B3882">
        <w:rPr>
          <w:rFonts w:ascii="Corbel" w:hAnsi="Corbel" w:cs="Times New Roman"/>
          <w:b/>
          <w:bCs/>
          <w:sz w:val="20"/>
          <w:szCs w:val="20"/>
        </w:rPr>
        <w:t xml:space="preserve"> </w:t>
      </w:r>
      <w:r w:rsidRPr="002B3882">
        <w:rPr>
          <w:rFonts w:ascii="Corbel" w:hAnsi="Corbel" w:cs="Times New Roman"/>
          <w:sz w:val="20"/>
          <w:szCs w:val="20"/>
        </w:rPr>
        <w:t>bone</w:t>
      </w:r>
      <w:r w:rsidRPr="002B3882">
        <w:rPr>
          <w:rFonts w:ascii="Corbel" w:hAnsi="Corbel" w:cs="Times New Roman"/>
          <w:b/>
          <w:bCs/>
          <w:sz w:val="20"/>
          <w:szCs w:val="20"/>
        </w:rPr>
        <w:t xml:space="preserve"> </w:t>
      </w:r>
      <w:r w:rsidRPr="002B3882">
        <w:rPr>
          <w:rFonts w:ascii="Corbel" w:hAnsi="Corbel" w:cs="Times New Roman"/>
          <w:sz w:val="20"/>
          <w:szCs w:val="20"/>
        </w:rPr>
        <w:t>defects larger than 2.5 cm that will not heal within a patient’s lifetime.</w:t>
      </w:r>
    </w:p>
    <w:p w14:paraId="3814AD77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sz w:val="20"/>
          <w:szCs w:val="20"/>
        </w:rPr>
      </w:pPr>
      <w:r w:rsidRPr="002B3882">
        <w:rPr>
          <w:rFonts w:ascii="Corbel" w:hAnsi="Corbel" w:cs="Times New Roman"/>
          <w:b/>
          <w:bCs/>
          <w:color w:val="000000" w:themeColor="text1"/>
          <w:sz w:val="20"/>
          <w:szCs w:val="20"/>
        </w:rPr>
        <w:t xml:space="preserve">Foreign body response </w:t>
      </w:r>
      <w:r w:rsidRPr="002B3882">
        <w:rPr>
          <w:rFonts w:ascii="Corbel" w:hAnsi="Corbel" w:cs="Times New Roman"/>
          <w:color w:val="111111"/>
          <w:sz w:val="20"/>
          <w:szCs w:val="20"/>
          <w:shd w:val="clear" w:color="auto" w:fill="FFFFFF"/>
        </w:rPr>
        <w:t>is an inflammatory </w:t>
      </w:r>
      <w:r w:rsidRPr="002B3882">
        <w:rPr>
          <w:rStyle w:val="Zwaar"/>
          <w:rFonts w:ascii="Corbel" w:hAnsi="Corbel" w:cs="Times New Roman"/>
          <w:color w:val="111111"/>
          <w:sz w:val="20"/>
          <w:szCs w:val="20"/>
          <w:shd w:val="clear" w:color="auto" w:fill="FFFFFF"/>
        </w:rPr>
        <w:t>response</w:t>
      </w:r>
      <w:r w:rsidRPr="002B3882">
        <w:rPr>
          <w:rFonts w:ascii="Corbel" w:hAnsi="Corbel" w:cs="Times New Roman"/>
          <w:color w:val="111111"/>
          <w:sz w:val="20"/>
          <w:szCs w:val="20"/>
          <w:shd w:val="clear" w:color="auto" w:fill="FFFFFF"/>
        </w:rPr>
        <w:t> elicited by any material that would not normally be found within the body.</w:t>
      </w:r>
    </w:p>
    <w:p w14:paraId="0C4F744B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sz w:val="20"/>
          <w:szCs w:val="20"/>
        </w:rPr>
      </w:pPr>
      <w:r w:rsidRPr="002B3882">
        <w:rPr>
          <w:rFonts w:ascii="Corbel" w:hAnsi="Corbel" w:cs="Times New Roman"/>
          <w:b/>
          <w:bCs/>
          <w:sz w:val="20"/>
          <w:szCs w:val="20"/>
        </w:rPr>
        <w:t xml:space="preserve">Gibb’s free energy </w:t>
      </w:r>
      <w:r w:rsidRPr="002B3882">
        <w:rPr>
          <w:rFonts w:ascii="Corbel" w:hAnsi="Corbel" w:cs="Times New Roman"/>
          <w:color w:val="202124"/>
          <w:sz w:val="20"/>
          <w:szCs w:val="20"/>
          <w:shd w:val="clear" w:color="auto" w:fill="FFFFFF"/>
        </w:rPr>
        <w:t>is a quantity that is used to measure the maximum amount of work done in a thermodynamic system when the temperature and pressure are kept constant.</w:t>
      </w:r>
    </w:p>
    <w:p w14:paraId="5F2D0E5A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sz w:val="20"/>
          <w:szCs w:val="20"/>
        </w:rPr>
      </w:pPr>
      <w:r w:rsidRPr="002B3882">
        <w:rPr>
          <w:rFonts w:ascii="Corbel" w:hAnsi="Corbel" w:cs="Times New Roman"/>
          <w:b/>
          <w:bCs/>
          <w:color w:val="000000" w:themeColor="text1"/>
          <w:sz w:val="20"/>
          <w:szCs w:val="20"/>
        </w:rPr>
        <w:t xml:space="preserve">Glass transition temperature </w:t>
      </w:r>
      <w:r w:rsidRPr="002B3882">
        <w:rPr>
          <w:rFonts w:ascii="Corbel" w:hAnsi="Corbel" w:cs="Times New Roman"/>
          <w:color w:val="000000" w:themeColor="text1"/>
          <w:sz w:val="20"/>
          <w:szCs w:val="20"/>
        </w:rPr>
        <w:t>is the temperature at which polymer molecules show macromolecular mobility and transition from a rigid state to a flexible state.</w:t>
      </w:r>
    </w:p>
    <w:p w14:paraId="5E8C79DF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sz w:val="20"/>
          <w:szCs w:val="20"/>
        </w:rPr>
      </w:pPr>
      <w:r w:rsidRPr="002B3882">
        <w:rPr>
          <w:rFonts w:ascii="Corbel" w:hAnsi="Corbel" w:cs="Times New Roman"/>
          <w:b/>
          <w:bCs/>
          <w:color w:val="000000" w:themeColor="text1"/>
          <w:sz w:val="20"/>
          <w:szCs w:val="20"/>
        </w:rPr>
        <w:t xml:space="preserve">Host response </w:t>
      </w:r>
      <w:r w:rsidRPr="002B3882">
        <w:rPr>
          <w:rFonts w:ascii="Corbel" w:hAnsi="Corbel" w:cs="Times New Roman"/>
          <w:color w:val="000000" w:themeColor="text1"/>
          <w:sz w:val="20"/>
          <w:szCs w:val="20"/>
        </w:rPr>
        <w:t>is lodged by an immunocompetent individual in response to the presence of an antigen.</w:t>
      </w:r>
    </w:p>
    <w:p w14:paraId="4E2C3E6C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sz w:val="20"/>
          <w:szCs w:val="20"/>
        </w:rPr>
      </w:pPr>
      <w:r w:rsidRPr="002B3882">
        <w:rPr>
          <w:rFonts w:ascii="Corbel" w:hAnsi="Corbel" w:cs="Times New Roman"/>
          <w:b/>
          <w:bCs/>
          <w:sz w:val="20"/>
          <w:szCs w:val="20"/>
        </w:rPr>
        <w:t xml:space="preserve">Hydrolytic degradation </w:t>
      </w:r>
      <w:r w:rsidRPr="002B3882">
        <w:rPr>
          <w:rFonts w:ascii="Corbel" w:hAnsi="Corbel" w:cs="Times New Roman"/>
          <w:sz w:val="20"/>
          <w:szCs w:val="20"/>
        </w:rPr>
        <w:t>is the breaking of water-labile bonds of a polymer by water.</w:t>
      </w:r>
    </w:p>
    <w:p w14:paraId="126389FB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sz w:val="20"/>
          <w:szCs w:val="20"/>
        </w:rPr>
      </w:pPr>
      <w:r w:rsidRPr="002B3882">
        <w:rPr>
          <w:rFonts w:ascii="Corbel" w:hAnsi="Corbel" w:cs="Times New Roman"/>
          <w:b/>
          <w:bCs/>
          <w:color w:val="000000" w:themeColor="text1"/>
          <w:sz w:val="20"/>
          <w:szCs w:val="20"/>
        </w:rPr>
        <w:t xml:space="preserve">Mechanical degradation </w:t>
      </w:r>
      <w:r w:rsidRPr="002B3882">
        <w:rPr>
          <w:rFonts w:ascii="Corbel" w:hAnsi="Corbel" w:cs="Times New Roman"/>
          <w:color w:val="000000" w:themeColor="text1"/>
          <w:sz w:val="20"/>
          <w:szCs w:val="20"/>
        </w:rPr>
        <w:t>is the</w:t>
      </w:r>
      <w:r w:rsidRPr="002B3882">
        <w:rPr>
          <w:rFonts w:ascii="Corbel" w:hAnsi="Corbel" w:cs="Times New Roman"/>
          <w:b/>
          <w:bCs/>
          <w:color w:val="000000" w:themeColor="text1"/>
          <w:sz w:val="20"/>
          <w:szCs w:val="20"/>
        </w:rPr>
        <w:t xml:space="preserve"> </w:t>
      </w:r>
      <w:r w:rsidRPr="002B3882">
        <w:rPr>
          <w:rFonts w:ascii="Corbel" w:hAnsi="Corbel" w:cs="Times New Roman"/>
          <w:color w:val="000000" w:themeColor="text1"/>
          <w:sz w:val="20"/>
          <w:szCs w:val="20"/>
        </w:rPr>
        <w:t>breakdown of molecules under the influence of mechanical stress.</w:t>
      </w:r>
    </w:p>
    <w:p w14:paraId="0FB1265F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bCs/>
          <w:color w:val="000000" w:themeColor="text1"/>
          <w:sz w:val="20"/>
          <w:szCs w:val="20"/>
        </w:rPr>
      </w:pPr>
      <w:bookmarkStart w:id="0" w:name="_Hlk88580712"/>
      <w:r w:rsidRPr="002B3882">
        <w:rPr>
          <w:rFonts w:ascii="Corbel" w:hAnsi="Corbel" w:cs="Times New Roman"/>
          <w:b/>
          <w:bCs/>
          <w:color w:val="000000" w:themeColor="text1"/>
          <w:sz w:val="20"/>
          <w:szCs w:val="20"/>
        </w:rPr>
        <w:t xml:space="preserve">Near-zero order kinetics </w:t>
      </w:r>
      <w:r w:rsidRPr="002B3882">
        <w:rPr>
          <w:rFonts w:ascii="Corbel" w:hAnsi="Corbel" w:cs="Times New Roman"/>
          <w:bCs/>
          <w:color w:val="000000" w:themeColor="text1"/>
          <w:sz w:val="20"/>
          <w:szCs w:val="20"/>
        </w:rPr>
        <w:t xml:space="preserve">is a type of reaction in which the rate of polymer mass loss is constant and independent of the influence of degradation products. This is seen in surface eroding polymers. </w:t>
      </w:r>
    </w:p>
    <w:bookmarkEnd w:id="0"/>
    <w:p w14:paraId="1A19C93B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sz w:val="20"/>
          <w:szCs w:val="20"/>
        </w:rPr>
      </w:pPr>
      <w:r w:rsidRPr="002B3882">
        <w:rPr>
          <w:rFonts w:ascii="Corbel" w:hAnsi="Corbel" w:cs="Times New Roman"/>
          <w:b/>
          <w:bCs/>
          <w:sz w:val="20"/>
          <w:szCs w:val="20"/>
        </w:rPr>
        <w:t>Osteoconduction</w:t>
      </w:r>
      <w:r w:rsidRPr="002B3882">
        <w:rPr>
          <w:rFonts w:ascii="Corbel" w:hAnsi="Corbel" w:cs="Times New Roman"/>
          <w:sz w:val="20"/>
          <w:szCs w:val="20"/>
        </w:rPr>
        <w:t xml:space="preserve"> is the property of a material to support bone tissue ingrowth.</w:t>
      </w:r>
    </w:p>
    <w:p w14:paraId="6A49912E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sz w:val="20"/>
          <w:szCs w:val="20"/>
        </w:rPr>
      </w:pPr>
      <w:r w:rsidRPr="002B3882">
        <w:rPr>
          <w:rFonts w:ascii="Corbel" w:hAnsi="Corbel" w:cs="Times New Roman"/>
          <w:b/>
          <w:bCs/>
          <w:sz w:val="20"/>
          <w:szCs w:val="20"/>
        </w:rPr>
        <w:t>Osteoinduction</w:t>
      </w:r>
      <w:r w:rsidRPr="002B3882">
        <w:rPr>
          <w:rFonts w:ascii="Corbel" w:hAnsi="Corbel" w:cs="Times New Roman"/>
          <w:sz w:val="20"/>
          <w:szCs w:val="20"/>
        </w:rPr>
        <w:t xml:space="preserve"> is the stimulation of osteoprogenitor cells to differentiate into osteoblasts. </w:t>
      </w:r>
    </w:p>
    <w:p w14:paraId="23538D1F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sz w:val="20"/>
          <w:szCs w:val="20"/>
        </w:rPr>
      </w:pPr>
      <w:r w:rsidRPr="002B3882">
        <w:rPr>
          <w:rFonts w:ascii="Corbel" w:hAnsi="Corbel" w:cs="Times New Roman"/>
          <w:b/>
          <w:bCs/>
          <w:sz w:val="20"/>
          <w:szCs w:val="20"/>
        </w:rPr>
        <w:t xml:space="preserve">Osteointegration </w:t>
      </w:r>
      <w:r w:rsidRPr="002B3882">
        <w:rPr>
          <w:rFonts w:ascii="Corbel" w:hAnsi="Corbel" w:cs="Times New Roman"/>
          <w:sz w:val="20"/>
          <w:szCs w:val="20"/>
        </w:rPr>
        <w:t>is the direct structural and functional connection between living bone and the surface of an implant.</w:t>
      </w:r>
    </w:p>
    <w:p w14:paraId="575997F5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b/>
          <w:bCs/>
          <w:sz w:val="20"/>
          <w:szCs w:val="20"/>
        </w:rPr>
      </w:pPr>
      <w:r w:rsidRPr="002B3882">
        <w:rPr>
          <w:rFonts w:ascii="Corbel" w:hAnsi="Corbel" w:cs="Times New Roman"/>
          <w:b/>
          <w:bCs/>
          <w:sz w:val="20"/>
          <w:szCs w:val="20"/>
        </w:rPr>
        <w:t xml:space="preserve">Physiochemical properties </w:t>
      </w:r>
      <w:r w:rsidRPr="002B3882">
        <w:rPr>
          <w:rFonts w:ascii="Corbel" w:hAnsi="Corbel" w:cs="Times New Roman"/>
          <w:sz w:val="20"/>
          <w:szCs w:val="20"/>
        </w:rPr>
        <w:t>are the intrinsic physical and chemical properties of a substance.</w:t>
      </w:r>
    </w:p>
    <w:p w14:paraId="2327669A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sz w:val="20"/>
          <w:szCs w:val="20"/>
        </w:rPr>
      </w:pPr>
      <w:r w:rsidRPr="002B3882">
        <w:rPr>
          <w:rFonts w:ascii="Corbel" w:hAnsi="Corbel" w:cs="Times New Roman"/>
          <w:b/>
          <w:bCs/>
          <w:color w:val="000000" w:themeColor="text1"/>
          <w:sz w:val="20"/>
          <w:szCs w:val="20"/>
        </w:rPr>
        <w:t xml:space="preserve">Reactive oxygen species (ROS) </w:t>
      </w:r>
      <w:r w:rsidRPr="002B3882">
        <w:rPr>
          <w:rFonts w:ascii="Corbel" w:hAnsi="Corbel" w:cs="Times New Roman"/>
          <w:color w:val="000000" w:themeColor="text1"/>
          <w:sz w:val="20"/>
          <w:szCs w:val="20"/>
        </w:rPr>
        <w:t>are a</w:t>
      </w:r>
      <w:r w:rsidRPr="002B3882">
        <w:rPr>
          <w:rFonts w:ascii="Corbel" w:hAnsi="Corbel" w:cs="Times New Roman"/>
          <w:b/>
          <w:bCs/>
          <w:color w:val="000000" w:themeColor="text1"/>
          <w:sz w:val="20"/>
          <w:szCs w:val="20"/>
        </w:rPr>
        <w:t xml:space="preserve"> </w:t>
      </w:r>
      <w:r w:rsidRPr="002B3882">
        <w:rPr>
          <w:rFonts w:ascii="Corbel" w:hAnsi="Corbel" w:cs="Times New Roman"/>
          <w:color w:val="000000" w:themeColor="text1"/>
          <w:sz w:val="20"/>
          <w:szCs w:val="20"/>
        </w:rPr>
        <w:t>highly reactive and unstable group of molecules derived from molecular oxygen.</w:t>
      </w:r>
    </w:p>
    <w:p w14:paraId="3997D832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color w:val="000000"/>
          <w:sz w:val="20"/>
          <w:szCs w:val="20"/>
          <w:shd w:val="clear" w:color="auto" w:fill="FFFFFF"/>
        </w:rPr>
      </w:pPr>
      <w:r w:rsidRPr="002B3882">
        <w:rPr>
          <w:rFonts w:ascii="Corbel" w:hAnsi="Corbel" w:cs="Times New Roman"/>
          <w:b/>
          <w:sz w:val="20"/>
          <w:szCs w:val="20"/>
        </w:rPr>
        <w:t>Stoichiometric</w:t>
      </w:r>
      <w:r w:rsidRPr="002B3882">
        <w:rPr>
          <w:rFonts w:ascii="Corbel" w:hAnsi="Corbel" w:cs="Times New Roman"/>
          <w:bCs/>
          <w:sz w:val="20"/>
          <w:szCs w:val="20"/>
        </w:rPr>
        <w:t xml:space="preserve"> refers to the relationship between the quantities of reactants and products before, during, and following chemical reactions</w:t>
      </w:r>
      <w:r>
        <w:rPr>
          <w:rFonts w:ascii="Corbel" w:hAnsi="Corbel" w:cs="Times New Roman"/>
          <w:bCs/>
          <w:sz w:val="20"/>
          <w:szCs w:val="20"/>
        </w:rPr>
        <w:t>.</w:t>
      </w:r>
    </w:p>
    <w:p w14:paraId="114DBD20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sz w:val="20"/>
          <w:szCs w:val="20"/>
        </w:rPr>
      </w:pPr>
      <w:r w:rsidRPr="002B3882">
        <w:rPr>
          <w:rFonts w:ascii="Corbel" w:hAnsi="Corbel" w:cs="Times New Roman"/>
          <w:b/>
          <w:bCs/>
          <w:sz w:val="20"/>
          <w:szCs w:val="20"/>
        </w:rPr>
        <w:t xml:space="preserve">Stress shielding </w:t>
      </w:r>
      <w:r w:rsidRPr="002B3882">
        <w:rPr>
          <w:rFonts w:ascii="Corbel" w:hAnsi="Corbel" w:cs="Times New Roman"/>
          <w:sz w:val="20"/>
          <w:szCs w:val="20"/>
        </w:rPr>
        <w:t xml:space="preserve">is the reduction in bone density when an implant of higher stiffness than bone supports physiological loads.  </w:t>
      </w:r>
    </w:p>
    <w:p w14:paraId="6E5D289F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sz w:val="20"/>
          <w:szCs w:val="20"/>
        </w:rPr>
      </w:pPr>
      <w:r w:rsidRPr="002B3882">
        <w:rPr>
          <w:rFonts w:ascii="Corbel" w:hAnsi="Corbel" w:cs="Times New Roman"/>
          <w:b/>
          <w:bCs/>
          <w:color w:val="000000" w:themeColor="text1"/>
          <w:sz w:val="20"/>
          <w:szCs w:val="20"/>
        </w:rPr>
        <w:t xml:space="preserve">Terminal sterilization </w:t>
      </w:r>
      <w:r w:rsidRPr="002B3882">
        <w:rPr>
          <w:rFonts w:ascii="Corbel" w:hAnsi="Corbel" w:cs="Times New Roman"/>
          <w:color w:val="000000" w:themeColor="text1"/>
          <w:sz w:val="20"/>
          <w:szCs w:val="20"/>
        </w:rPr>
        <w:t>is a process of sterilizing a product in its final container to ensure its sterility until use.</w:t>
      </w:r>
    </w:p>
    <w:p w14:paraId="06EC5E37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sz w:val="20"/>
          <w:szCs w:val="20"/>
        </w:rPr>
      </w:pPr>
      <w:r w:rsidRPr="002B3882">
        <w:rPr>
          <w:rFonts w:ascii="Corbel" w:hAnsi="Corbel" w:cs="Times New Roman"/>
          <w:b/>
          <w:bCs/>
          <w:color w:val="000000" w:themeColor="text1"/>
          <w:sz w:val="20"/>
          <w:szCs w:val="20"/>
        </w:rPr>
        <w:t xml:space="preserve">Thermal degradation </w:t>
      </w:r>
      <w:r w:rsidRPr="002B3882">
        <w:rPr>
          <w:rFonts w:ascii="Corbel" w:hAnsi="Corbel" w:cs="Times New Roman"/>
          <w:color w:val="000000" w:themeColor="text1"/>
          <w:sz w:val="20"/>
          <w:szCs w:val="20"/>
        </w:rPr>
        <w:t>is when a polymer changes its properties under the influence of heat.</w:t>
      </w:r>
    </w:p>
    <w:p w14:paraId="34E72099" w14:textId="77777777" w:rsidR="00704E7D" w:rsidRDefault="00704E7D" w:rsidP="00704E7D">
      <w:pPr>
        <w:spacing w:after="0" w:line="240" w:lineRule="auto"/>
        <w:jc w:val="both"/>
        <w:rPr>
          <w:rFonts w:ascii="Corbel" w:hAnsi="Corbel" w:cs="Times New Roman"/>
          <w:iCs/>
          <w:sz w:val="20"/>
          <w:szCs w:val="20"/>
        </w:rPr>
      </w:pPr>
      <w:r w:rsidRPr="002B3882">
        <w:rPr>
          <w:rFonts w:ascii="Corbel" w:hAnsi="Corbel" w:cs="Times New Roman"/>
          <w:b/>
          <w:bCs/>
          <w:iCs/>
          <w:sz w:val="20"/>
          <w:szCs w:val="20"/>
        </w:rPr>
        <w:t xml:space="preserve">Thermodynamic solubility </w:t>
      </w:r>
      <w:r w:rsidRPr="002B3882">
        <w:rPr>
          <w:rFonts w:ascii="Corbel" w:hAnsi="Corbel" w:cs="Times New Roman"/>
          <w:iCs/>
          <w:sz w:val="20"/>
          <w:szCs w:val="20"/>
        </w:rPr>
        <w:t>is the saturation solubility of a compound at the end of a dissolution process.</w:t>
      </w:r>
    </w:p>
    <w:p w14:paraId="21DA6566" w14:textId="77777777" w:rsidR="00704E7D" w:rsidRPr="002B3882" w:rsidRDefault="00704E7D" w:rsidP="00704E7D">
      <w:pPr>
        <w:spacing w:after="0" w:line="240" w:lineRule="auto"/>
        <w:jc w:val="both"/>
        <w:rPr>
          <w:rFonts w:ascii="Corbel" w:hAnsi="Corbel" w:cs="Times New Roman"/>
          <w:iCs/>
          <w:sz w:val="20"/>
          <w:szCs w:val="20"/>
        </w:rPr>
      </w:pPr>
    </w:p>
    <w:p w14:paraId="5270CF66" w14:textId="77777777" w:rsidR="00704E7D" w:rsidRPr="00D948DC" w:rsidRDefault="00704E7D" w:rsidP="00704E7D">
      <w:pPr>
        <w:spacing w:after="0" w:line="240" w:lineRule="auto"/>
        <w:ind w:right="113"/>
        <w:contextualSpacing/>
        <w:rPr>
          <w:rFonts w:ascii="Corbel" w:hAnsi="Corbel" w:cs="Arial"/>
          <w:sz w:val="20"/>
          <w:szCs w:val="20"/>
        </w:rPr>
      </w:pPr>
      <w:bookmarkStart w:id="1" w:name="_Hlk102137701"/>
      <w:r w:rsidRPr="00D948DC">
        <w:rPr>
          <w:rFonts w:ascii="Corbel" w:hAnsi="Corbel" w:cs="Arial"/>
          <w:sz w:val="20"/>
          <w:szCs w:val="20"/>
        </w:rPr>
        <w:t xml:space="preserve">© Jan de Boer. All glossaries can be found at </w:t>
      </w:r>
      <w:hyperlink r:id="rId4" w:history="1">
        <w:r w:rsidRPr="00D948DC">
          <w:rPr>
            <w:rStyle w:val="Hyperlink"/>
            <w:rFonts w:ascii="Corbel" w:hAnsi="Corbel" w:cs="Arial"/>
            <w:sz w:val="20"/>
            <w:szCs w:val="20"/>
          </w:rPr>
          <w:t>www.jandeboerlab.com/TissueEngineering</w:t>
        </w:r>
      </w:hyperlink>
      <w:r w:rsidRPr="00D948DC">
        <w:rPr>
          <w:rFonts w:ascii="Corbel" w:hAnsi="Corbel" w:cs="Arial"/>
          <w:sz w:val="20"/>
          <w:szCs w:val="20"/>
        </w:rPr>
        <w:t>.</w:t>
      </w:r>
    </w:p>
    <w:bookmarkEnd w:id="1"/>
    <w:p w14:paraId="4CD1519F" w14:textId="77777777" w:rsidR="00704E7D" w:rsidRPr="0050000D" w:rsidRDefault="00704E7D" w:rsidP="00704E7D">
      <w:pPr>
        <w:spacing w:after="0" w:line="240" w:lineRule="auto"/>
        <w:rPr>
          <w:rFonts w:ascii="Corbel" w:hAnsi="Corbel"/>
        </w:rPr>
      </w:pPr>
      <w:r w:rsidRPr="0050000D">
        <w:rPr>
          <w:rFonts w:ascii="Corbel" w:hAnsi="Corbel"/>
          <w:bCs/>
          <w:sz w:val="20"/>
          <w:szCs w:val="20"/>
        </w:rPr>
        <w:t>Some of this definitions were freely obtained and paraphrased from Wikipedia and Google.</w:t>
      </w:r>
    </w:p>
    <w:p w14:paraId="5A68B951" w14:textId="77777777" w:rsidR="00427195" w:rsidRDefault="00427195" w:rsidP="00704E7D">
      <w:pPr>
        <w:spacing w:after="0" w:line="240" w:lineRule="auto"/>
        <w:jc w:val="both"/>
      </w:pPr>
    </w:p>
    <w:sectPr w:rsidR="00427195" w:rsidSect="00DB2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81"/>
    <w:rsid w:val="00427195"/>
    <w:rsid w:val="00704E7D"/>
    <w:rsid w:val="00D34A81"/>
    <w:rsid w:val="00DB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B1FF5"/>
  <w15:chartTrackingRefBased/>
  <w15:docId w15:val="{A82D8032-C393-4396-A59A-851440AF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34A81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D34A81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Corbel" w:hAnsi="Corbel"/>
      <w:b/>
      <w:bCs/>
      <w:sz w:val="23"/>
      <w:szCs w:val="23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4A81"/>
    <w:rPr>
      <w:rFonts w:ascii="Corbel" w:hAnsi="Corbel"/>
      <w:b/>
      <w:bCs/>
      <w:sz w:val="23"/>
      <w:szCs w:val="23"/>
      <w:lang w:val="en-US"/>
    </w:rPr>
  </w:style>
  <w:style w:type="character" w:styleId="Zwaar">
    <w:name w:val="Strong"/>
    <w:basedOn w:val="Standaardalinea-lettertype"/>
    <w:uiPriority w:val="22"/>
    <w:qFormat/>
    <w:rsid w:val="00D34A81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704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andeboerlab.com/Tissue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514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Bouwens, Anne</cp:lastModifiedBy>
  <cp:revision>2</cp:revision>
  <dcterms:created xsi:type="dcterms:W3CDTF">2022-05-12T11:19:00Z</dcterms:created>
  <dcterms:modified xsi:type="dcterms:W3CDTF">2022-05-23T17:45:00Z</dcterms:modified>
</cp:coreProperties>
</file>