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Xf8a503804c562ac29da507120a5b0152acdf95a"/>
    <w:p>
      <w:pPr>
        <w:pStyle w:val="Heading1"/>
      </w:pPr>
      <w:r>
        <w:t xml:space="preserve">Plantagenet Late Medieval Army – Marching Column Livery &amp; Identification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Source:</w:t>
      </w:r>
      <w:r>
        <w:t xml:space="preserve"> </w:t>
      </w:r>
      <w:r>
        <w:t xml:space="preserve">Plantagenet_Late_Medieval_Army_Reference_Bible.md (extracted)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Locked for production use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2026-06-15</w:t>
      </w:r>
      <w:r>
        <w:br/>
      </w:r>
      <w:r>
        <w:rPr>
          <w:b/>
          <w:bCs/>
        </w:rPr>
        <w:t xml:space="preserve">Purpose:</w:t>
      </w:r>
      <w:r>
        <w:t xml:space="preserve"> </w:t>
      </w:r>
      <w:r>
        <w:t xml:space="preserve">Focused reference + prompt pack for marching column, camp approach, and identification shots</w:t>
      </w:r>
    </w:p>
    <w:p>
      <w:r>
        <w:pict>
          <v:rect style="width:0;height:1.5pt" o:hralign="center" o:hrstd="t" o:hr="t"/>
        </w:pict>
      </w:r>
    </w:p>
    <w:bookmarkEnd w:id="9"/>
    <w:bookmarkStart w:id="12" w:name="Xe2910efa76c8169b6dc17510e01e86768a8b0d3"/>
    <w:p>
      <w:pPr>
        <w:pStyle w:val="Heading1"/>
      </w:pPr>
      <w:r>
        <w:t xml:space="preserve">Plantagenet &amp; Late Medieval Army Reference Bible (Reusable)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2.0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June 15, 2026</w:t>
      </w:r>
      <w:r>
        <w:br/>
      </w:r>
      <w:r>
        <w:rPr>
          <w:b/>
          <w:bCs/>
        </w:rPr>
        <w:t xml:space="preserve">Purpose:</w:t>
      </w:r>
      <w:r>
        <w:t xml:space="preserve"> </w:t>
      </w:r>
      <w:r>
        <w:t xml:space="preserve">Comprehensive, reusable reference for accurate Plantagenet/Hundred Years War/Wars of the Roses army renders. Half historical research + half prompt engineering bible.</w:t>
      </w:r>
    </w:p>
    <w:bookmarkStart w:id="10" w:name="part-1-historical-research"/>
    <w:p>
      <w:pPr>
        <w:pStyle w:val="Heading2"/>
      </w:pPr>
      <w:r>
        <w:t xml:space="preserve">Part 1: Historical Research</w:t>
      </w:r>
    </w:p>
    <w:p>
      <w:pPr>
        <w:pStyle w:val="FirstParagraph"/>
      </w:pPr>
      <w:r>
        <w:rPr>
          <w:b/>
          <w:bCs/>
        </w:rPr>
        <w:t xml:space="preserve">Livery &amp; Identification</w:t>
      </w:r>
      <w:r>
        <w:t xml:space="preserve"> </w:t>
      </w:r>
      <w:r>
        <w:t xml:space="preserve">- Lords provided retainers with livery coats/jackets in their two primary colors + badge.</w:t>
      </w:r>
      <w:r>
        <w:t xml:space="preserve"> </w:t>
      </w:r>
      <w:r>
        <w:t xml:space="preserve">- Examples: murrey &amp; blue (York), red/white rose, white boar, sun in splendour, etc.</w:t>
      </w:r>
    </w:p>
    <w:p>
      <w:pPr>
        <w:pStyle w:val="BodyText"/>
      </w:pPr>
      <w:r>
        <w:rPr>
          <w:b/>
          <w:bCs/>
        </w:rPr>
        <w:t xml:space="preserve">Armor Styles (Elite Men-at-Arms Focus)</w:t>
      </w:r>
      <w:r>
        <w:t xml:space="preserve"> </w:t>
      </w:r>
      <w:r>
        <w:t xml:space="preserve">- Transitional to full plate: sallet helmets, brigandine, breastplate + placart, articulated limb harness, mail voiders at joints.</w:t>
      </w:r>
      <w:r>
        <w:t xml:space="preserve"> </w:t>
      </w:r>
      <w:r>
        <w:t xml:space="preserve">- High variation even in same retinue: mismatched pieces, repairs, personal engravings, different helmet styles (sallet, armet, kettle hat).</w:t>
      </w:r>
    </w:p>
    <w:p>
      <w:pPr>
        <w:pStyle w:val="BodyText"/>
      </w:pPr>
      <w:r>
        <w:rPr>
          <w:b/>
          <w:bCs/>
        </w:rPr>
        <w:t xml:space="preserve">Weapons</w:t>
      </w:r>
      <w:r>
        <w:t xml:space="preserve"> </w:t>
      </w:r>
      <w:r>
        <w:t xml:space="preserve">- Longbows, bills, poleaxes, pollaxes, swords, rondel daggers, lances (dismounted).</w:t>
      </w:r>
    </w:p>
    <w:p>
      <w:pPr>
        <w:pStyle w:val="BodyText"/>
      </w:pPr>
      <w:r>
        <w:rPr>
          <w:b/>
          <w:bCs/>
        </w:rPr>
        <w:t xml:space="preserve">Formations &amp; Appearance</w:t>
      </w:r>
      <w:r>
        <w:t xml:space="preserve"> </w:t>
      </w:r>
      <w:r>
        <w:t xml:space="preserve">- Marching columns: dense, orderly with banners, dust, elite troops grouped around lord.</w:t>
      </w:r>
      <w:r>
        <w:t xml:space="preserve"> </w:t>
      </w:r>
      <w:r>
        <w:t xml:space="preserve">- Elite appearance: colorful livery coats over steel harness, mixed but high-quality armor.</w:t>
      </w:r>
    </w:p>
    <w:bookmarkEnd w:id="10"/>
    <w:bookmarkStart w:id="11" w:name="part-2-prompt-bible"/>
    <w:p>
      <w:pPr>
        <w:pStyle w:val="Heading2"/>
      </w:pPr>
      <w:r>
        <w:t xml:space="preserve">Part 2: Prompt Bible</w:t>
      </w:r>
    </w:p>
    <w:p>
      <w:pPr>
        <w:pStyle w:val="FirstParagraph"/>
      </w:pPr>
      <w:r>
        <w:rPr>
          <w:b/>
          <w:bCs/>
        </w:rPr>
        <w:t xml:space="preserve">Key Terminology</w:t>
      </w:r>
      <w:r>
        <w:t xml:space="preserve"> </w:t>
      </w:r>
      <w:r>
        <w:t xml:space="preserve">-</w:t>
      </w:r>
      <w:r>
        <w:t xml:space="preserve"> </w:t>
      </w:r>
      <w:r>
        <w:t xml:space="preserve">“wealthy Plantagenet man-at-arms in partial plate harness with livery coat over brigandine”</w:t>
      </w:r>
      <w:r>
        <w:t xml:space="preserve"> </w:t>
      </w:r>
      <w:r>
        <w:t xml:space="preserve">-</w:t>
      </w:r>
      <w:r>
        <w:t xml:space="preserve"> </w:t>
      </w:r>
      <w:r>
        <w:t xml:space="preserve">“diverse facial features within the same retinue – weathered veterans and younger retainers”</w:t>
      </w:r>
      <w:r>
        <w:t xml:space="preserve"> </w:t>
      </w:r>
      <w:r>
        <w:t xml:space="preserve">-</w:t>
      </w:r>
      <w:r>
        <w:t xml:space="preserve"> </w:t>
      </w:r>
      <w:r>
        <w:t xml:space="preserve">“high internal variation in armor details while maintaining consistent lord’s livery colors and badges”</w:t>
      </w:r>
    </w:p>
    <w:p>
      <w:pPr>
        <w:pStyle w:val="BodyText"/>
      </w:pPr>
      <w:r>
        <w:rPr>
          <w:b/>
          <w:bCs/>
        </w:rPr>
        <w:t xml:space="preserve">Reusable Phrases for Unified Renders</w:t>
      </w:r>
      <w:r>
        <w:t xml:space="preserve"> </w:t>
      </w:r>
      <w:r>
        <w:t xml:space="preserve">-</w:t>
      </w:r>
      <w:r>
        <w:t xml:space="preserve"> </w:t>
      </w:r>
      <w:r>
        <w:t xml:space="preserve">“one massive cohesive elite Plantagenet army column as single unified 3D asset with strong internal variation in individual armor and faces, all unified by consistent livery colors”</w:t>
      </w:r>
      <w:r>
        <w:t xml:space="preserve"> </w:t>
      </w:r>
      <w:r>
        <w:t xml:space="preserve">-</w:t>
      </w:r>
      <w:r>
        <w:t xml:space="preserve"> </w:t>
      </w:r>
      <w:r>
        <w:t xml:space="preserve">“commander in separate slot 2 as focal point, entire army behind him as slot 3 asset”</w:t>
      </w:r>
    </w:p>
    <w:p>
      <w:pPr>
        <w:pStyle w:val="BodyText"/>
      </w:pPr>
      <w:r>
        <w:rPr>
          <w:b/>
          <w:bCs/>
        </w:rPr>
        <w:t xml:space="preserve">Slot Examples</w:t>
      </w:r>
      <w:r>
        <w:t xml:space="preserve"> </w:t>
      </w:r>
      <w:r>
        <w:t xml:space="preserve">- Slot 2: commander/general</w:t>
      </w:r>
      <w:r>
        <w:t xml:space="preserve"> </w:t>
      </w:r>
      <w:r>
        <w:t xml:space="preserve">- Major army block as unified asset with variation instructions.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2026-06-16T03:50:46Z</dcterms:created>
  <dcterms:modified xsi:type="dcterms:W3CDTF">2026-06-16T03:50:46Z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