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3.png" ContentType="image/png"/>
  <Override PartName="/word/media/rId85.png" ContentType="image/png"/>
  <Override PartName="/word/media/rId60.png" ContentType="image/png"/>
  <Override PartName="/word/media/rId17.png" ContentType="image/png"/>
  <Override PartName="/word/media/rId54.png" ContentType="image/png"/>
  <Override PartName="/word/media/rId49.png" ContentType="image/png"/>
  <Override PartName="/word/media/rId44.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2.0</w:t>
            </w:r>
          </w:p>
        </w:tc>
      </w:tr>
      <w:tr>
        <w:tc>
          <w:tcPr/>
          <w:p>
            <w:pPr>
              <w:pStyle w:val="Compact"/>
            </w:pPr>
            <w:r>
              <w:rPr>
                <w:b/>
                <w:bCs/>
              </w:rPr>
              <w:t xml:space="preserve">Datum</w:t>
            </w:r>
          </w:p>
        </w:tc>
        <w:tc>
          <w:tcPr/>
          <w:p>
            <w:pPr>
              <w:pStyle w:val="Compact"/>
            </w:pPr>
            <w:r>
              <w:t xml:space="preserve">27. Juni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r>
        <w:tc>
          <w:tcPr/>
          <w:p>
            <w:pPr>
              <w:pStyle w:val="Compact"/>
            </w:pPr>
            <w:r>
              <w:rPr>
                <w:b/>
                <w:bCs/>
              </w:rPr>
              <w:t xml:space="preserve">GitHub</w:t>
            </w:r>
          </w:p>
        </w:tc>
        <w:tc>
          <w:tcPr/>
          <w:p>
            <w:pPr>
              <w:pStyle w:val="Compact"/>
            </w:pPr>
            <w:r>
              <w:t xml:space="preserve">https://github.com/cbo1970/tsas</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Vorbereitung auf ein Tennismatch fehlt eine Anwendung, mit der Eltern und Trainer Spielweise und</w:t>
      </w:r>
      <w:r>
        <w:t xml:space="preserve"> </w:t>
      </w:r>
      <w:r>
        <w:t xml:space="preserve">Eigenheiten des eigenen Spielers und des Gegners erfassen und auswerten können. Diese Lücke schliesst</w:t>
      </w:r>
      <w:r>
        <w:t xml:space="preserve"> </w:t>
      </w:r>
      <w:r>
        <w:rPr>
          <w:b/>
          <w:bCs/>
        </w:rPr>
        <w:t xml:space="preserve">Tennis Score and Statistic (TSaS)</w:t>
      </w:r>
      <w:r>
        <w:t xml:space="preserve">: eine Web-App (später zusätzlich iOS), mit der ein Match</w:t>
      </w:r>
      <w:r>
        <w:t xml:space="preserve"> </w:t>
      </w:r>
      <w:r>
        <w:t xml:space="preserve">Punkt für Punkt mit fixen Attributen dokumentiert und statistisch ausgewertet wird. Zusätzlich kann mittels KI</w:t>
      </w:r>
      <w:r>
        <w:t xml:space="preserve"> </w:t>
      </w:r>
      <w:r>
        <w:t xml:space="preserve">eine Matchanalyse durchgeführt werden um eine Strategie für zukünfige Matches gegen den gleichen Gegner zu entwickeln.</w:t>
      </w:r>
    </w:p>
    <w:bookmarkStart w:id="9" w:name="aufgabenstellung"/>
    <w:p>
      <w:pPr>
        <w:pStyle w:val="Heading3"/>
      </w:pPr>
      <w:r>
        <w:t xml:space="preserve">1.1 Aufgabenstellung</w:t>
      </w:r>
    </w:p>
    <w:p>
      <w:pPr>
        <w:pStyle w:val="FirstParagraph"/>
      </w:pPr>
      <w:r>
        <w:t xml:space="preserve">TSaS hält den Spielstand eines Tennismatches fest, dokumentiert jeden Punkt mit fixen Attributen und</w:t>
      </w:r>
      <w:r>
        <w:t xml:space="preserve"> </w:t>
      </w:r>
      <w:r>
        <w:t xml:space="preserve">ermöglicht statistische Auswertungen. Ein Freitext Feld ermöglicht es dem Coach zusätzliche Angaben zu machen, welche dann</w:t>
      </w:r>
      <w:r>
        <w:t xml:space="preserve"> </w:t>
      </w:r>
      <w:r>
        <w:t xml:space="preserve">der KI für die Matchanalyse mitgegeben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Ein neues fachliches Modul (z. B. Statistik-Erweiterung) ist in ≤ 5 Personentagen integrierbar, ohne bestehende Module zu 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 95 % pro Kalendermonat (HTTP-Health-Check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Erfassen eines Punktes (</w:t>
            </w:r>
            <w:r>
              <w:rPr>
                <w:rStyle w:val="VerbatimChar"/>
              </w:rPr>
              <w:t xml:space="preserve">POST .../points</w:t>
            </w:r>
            <w:r>
              <w:t xml:space="preserve">) ≤ 250 ms (95. Perzentil, serverseitig) bei bis zu 100 gleichzeitigen Nutzern.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Head-to-Head-Berechnung ≤ 60 s, auch bei &gt; 500 Matches.</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w:t>
            </w:r>
            <w:r>
              <w:t xml:space="preserve"> </w:t>
            </w:r>
            <w:r>
              <w:rPr>
                <w:rStyle w:val="VerbatimChar"/>
              </w:rPr>
              <w:t xml:space="preserve">/health</w:t>
            </w:r>
            <w:r>
              <w:t xml:space="preserve">) durch gültiges OAuth2-Bearer-Token geschützt; unautorisiert → HTTP 401.</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KI-Postmortem synchron ≤ 60 s (LLM-Timeout); erneutes Lesen aus DB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Matches dokumentieren, Statistiken zur Gegner-Vorbereitung, Spielweise eigener Spieler analysieren.</w:t>
            </w:r>
          </w:p>
        </w:tc>
      </w:tr>
      <w:tr>
        <w:tc>
          <w:tcPr/>
          <w:p>
            <w:pPr>
              <w:pStyle w:val="Compact"/>
            </w:pPr>
            <w:r>
              <w:rPr>
                <w:b/>
                <w:bCs/>
              </w:rPr>
              <w:t xml:space="preserve">Eltern</w:t>
            </w:r>
          </w:p>
        </w:tc>
        <w:tc>
          <w:tcPr/>
          <w:p>
            <w:pPr>
              <w:pStyle w:val="Compact"/>
            </w:pPr>
            <w:r>
              <w:t xml:space="preserve">Einfache Bedienung während des Matches, übersichtliche Darstellung von Verlauf und Ergebnis.</w:t>
            </w:r>
          </w:p>
        </w:tc>
      </w:tr>
      <w:tr>
        <w:tc>
          <w:tcPr/>
          <w:p>
            <w:pPr>
              <w:pStyle w:val="Compact"/>
            </w:pPr>
            <w:r>
              <w:rPr>
                <w:b/>
                <w:bCs/>
              </w:rPr>
              <w:t xml:space="preserve">Entwickler / Betreiber</w:t>
            </w:r>
          </w:p>
        </w:tc>
        <w:tc>
          <w:tcPr/>
          <w:p>
            <w:pPr>
              <w:pStyle w:val="Compact"/>
            </w:pPr>
            <w:r>
              <w:t xml:space="preserve">Wartbare, dokumentierte Codebasis, einfaches Docker-Deployment.</w:t>
            </w:r>
          </w:p>
        </w:tc>
      </w:tr>
    </w:tbl>
    <w:bookmarkEnd w:id="11"/>
    <w:bookmarkStart w:id="12" w:name="ki-nutzen-pro-kernfunktion"/>
    <w:p>
      <w:pPr>
        <w:pStyle w:val="Heading3"/>
      </w:pPr>
      <w:r>
        <w:t xml:space="preserve">1.4 KI-Nutzen pro Kernfunktion</w:t>
      </w:r>
    </w:p>
    <w:p>
      <w:pPr>
        <w:pStyle w:val="FirstParagraph"/>
      </w:pPr>
      <w:r>
        <w:t xml:space="preserve">Scoring und Statistik sind rein deterministisch; KI wird gezielt nur dort eingesetzt, wo natürlichsprachliche Synthese</w:t>
      </w:r>
      <w:r>
        <w:t xml:space="preserve"> </w:t>
      </w:r>
      <w:r>
        <w:t xml:space="preserve">einen aus Roh-Statistiken nicht mechanisch ableitbaren Mehrwert liefert.</w:t>
      </w:r>
    </w:p>
    <w:tbl>
      <w:tblPr>
        <w:tblStyle w:val="Table"/>
        <w:tblW w:type="pct" w:w="5000"/>
        <w:tblLayout w:type="fixed"/>
        <w:tblLook w:firstRow="1" w:lastRow="0" w:firstColumn="0" w:lastColumn="0" w:noHBand="0" w:noVBand="0" w:val="0020"/>
      </w:tblPr>
      <w:tblGrid>
        <w:gridCol w:w="661"/>
        <w:gridCol w:w="898"/>
        <w:gridCol w:w="6359"/>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(klassisches CRUD)</w:t>
            </w:r>
          </w:p>
        </w:tc>
      </w:tr>
      <w:tr>
        <w:tc>
          <w:tcPr/>
          <w:p>
            <w:pPr>
              <w:pStyle w:val="Compact"/>
            </w:pPr>
            <w:r>
              <w:t xml:space="preserve">FA-05, FA-14–FA-16</w:t>
            </w:r>
          </w:p>
        </w:tc>
        <w:tc>
          <w:tcPr/>
          <w:p>
            <w:pPr>
              <w:pStyle w:val="Compact"/>
            </w:pPr>
            <w:r>
              <w:t xml:space="preserve">Match-Lebenszyklus</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w:t>
            </w:r>
          </w:p>
        </w:tc>
        <w:tc>
          <w:tcPr/>
          <w:p>
            <w:pPr>
              <w:pStyle w:val="Compact"/>
            </w:pPr>
            <w:r>
              <w:t xml:space="preserve">– (ITF-Regelwerk in</w:t>
            </w:r>
            <w:r>
              <w:t xml:space="preserve"> </w:t>
            </w:r>
            <w:r>
              <w:rPr>
                <w:rStyle w:val="VerbatimChar"/>
              </w:rPr>
              <w:t xml:space="preserve">ScoringService</w:t>
            </w:r>
            <w:r>
              <w:t xml:space="preserve">)</w:t>
            </w:r>
          </w:p>
        </w:tc>
      </w:tr>
      <w:tr>
        <w:tc>
          <w:tcPr/>
          <w:p>
            <w:pPr>
              <w:pStyle w:val="Compact"/>
            </w:pPr>
            <w:r>
              <w:t xml:space="preserve">FA-08, FA-17</w:t>
            </w:r>
          </w:p>
        </w:tc>
        <w:tc>
          <w:tcPr/>
          <w:p>
            <w:pPr>
              <w:pStyle w:val="Compact"/>
            </w:pPr>
            <w:r>
              <w:t xml:space="preserve">Head-to-Head- / Match-Statistik</w:t>
            </w:r>
          </w:p>
        </w:tc>
        <w:tc>
          <w:tcPr/>
          <w:p>
            <w:pPr>
              <w:pStyle w:val="Compact"/>
            </w:pPr>
            <w:r>
              <w:t xml:space="preserve">– (Aggregation aus</w:t>
            </w:r>
            <w:r>
              <w:t xml:space="preserve"> </w:t>
            </w:r>
            <w:r>
              <w:rPr>
                <w:rStyle w:val="VerbatimChar"/>
              </w:rPr>
              <w:t xml:space="preserve">points</w:t>
            </w:r>
            <w:r>
              <w:t xml:space="preserve">)</w:t>
            </w:r>
          </w:p>
        </w:tc>
      </w:tr>
      <w:tr>
        <w:tc>
          <w:tcPr/>
          <w:p>
            <w:pPr>
              <w:pStyle w:val="Compact"/>
            </w:pPr>
            <w:r>
              <w:t xml:space="preserve">FA-22</w:t>
            </w:r>
          </w:p>
        </w:tc>
        <w:tc>
          <w:tcPr/>
          <w:p>
            <w:pPr>
              <w:pStyle w:val="Compact"/>
            </w:pPr>
            <w:r>
              <w:t xml:space="preserve">Coach-Freitext-Notizen</w:t>
            </w:r>
          </w:p>
        </w:tc>
        <w:tc>
          <w:tcPr/>
          <w:p>
            <w:pPr>
              <w:pStyle w:val="Compact"/>
            </w:pPr>
            <w:r>
              <w:t xml:space="preserve">– (CRUD; Notizen fliessen aber als Kontext in FA-11/FA-20)</w:t>
            </w:r>
          </w:p>
        </w:tc>
      </w:tr>
      <w:tr>
        <w:tc>
          <w:tcPr/>
          <w:p>
            <w:pPr>
              <w:pStyle w:val="Compact"/>
            </w:pPr>
            <w:r>
              <w:t xml:space="preserve">FA-11</w:t>
            </w:r>
          </w:p>
        </w:tc>
        <w:tc>
          <w:tcPr/>
          <w:p>
            <w:pPr>
              <w:pStyle w:val="Compact"/>
            </w:pPr>
            <w:r>
              <w:t xml:space="preserve">KI-Match-Analyse (Postmortem)</w:t>
            </w:r>
          </w:p>
        </w:tc>
        <w:tc>
          <w:tcPr/>
          <w:p>
            <w:pPr>
              <w:pStyle w:val="Compact"/>
            </w:pPr>
            <w:r>
              <w:t xml:space="preserve">Spring AI → OpenAI (Default</w:t>
            </w:r>
            <w:r>
              <w:t xml:space="preserve"> </w:t>
            </w:r>
            <w:r>
              <w:rPr>
                <w:rStyle w:val="VerbatimChar"/>
              </w:rPr>
              <w:t xml:space="preserve">gpt-4o-mini</w:t>
            </w:r>
            <w:r>
              <w:t xml:space="preserve">), strukturierter JSON-Output via</w:t>
            </w:r>
            <w:r>
              <w:t xml:space="preserve"> </w:t>
            </w:r>
            <w:r>
              <w:rPr>
                <w:rStyle w:val="VerbatimChar"/>
              </w:rPr>
              <w:t xml:space="preserve">BeanOutputConverter</w:t>
            </w:r>
            <w:r>
              <w:t xml:space="preserve">, deterministischer Fallback (</w:t>
            </w:r>
            <w:r>
              <w:rPr>
                <w:rStyle w:val="VerbatimChar"/>
              </w:rPr>
              <w:t xml:space="preserve">FakeLlmClientAdapter</w:t>
            </w:r>
            <w:r>
              <w:t xml:space="preserve">). Liefert taktische Synthese (Schlüsselmomente, Stärken/Schwächen je Spieler, 3–5 priorisierte Empfehlungen).</w:t>
            </w:r>
          </w:p>
        </w:tc>
      </w:tr>
      <w:tr>
        <w:tc>
          <w:tcPr/>
          <w:p>
            <w:pPr>
              <w:pStyle w:val="Compact"/>
            </w:pPr>
            <w:r>
              <w:t xml:space="preserve">FA-20</w:t>
            </w:r>
          </w:p>
        </w:tc>
        <w:tc>
          <w:tcPr/>
          <w:p>
            <w:pPr>
              <w:pStyle w:val="Compact"/>
            </w:pPr>
            <w:r>
              <w:t xml:space="preserve">KI-Vorbereitung gegen einen Gegner</w:t>
            </w:r>
          </w:p>
        </w:tc>
        <w:tc>
          <w:tcPr/>
          <w:p>
            <w:pPr>
              <w:pStyle w:val="Compact"/>
            </w:pPr>
            <w:r>
              <w:t xml:space="preserve">Gleiche Adapter-Chain. Liefert vorausschauende Vorbereitung (</w:t>
            </w:r>
            <w:r>
              <w:rPr>
                <w:rStyle w:val="VerbatimChar"/>
              </w:rPr>
              <w:t xml:space="preserve">opponentProfile</w:t>
            </w:r>
            <w:r>
              <w:t xml:space="preserve">,</w:t>
            </w:r>
            <w:r>
              <w:t xml:space="preserve"> </w:t>
            </w:r>
            <w:r>
              <w:rPr>
                <w:rStyle w:val="VerbatimChar"/>
              </w:rPr>
              <w:t xml:space="preserve">tacticalObservations</w:t>
            </w:r>
            <w:r>
              <w:t xml:space="preserve">,</w:t>
            </w:r>
            <w:r>
              <w:t xml:space="preserve"> </w:t>
            </w:r>
            <w:r>
              <w:rPr>
                <w:rStyle w:val="VerbatimChar"/>
              </w:rPr>
              <w:t xml:space="preserve">serveStrategy</w:t>
            </w:r>
            <w:r>
              <w:t xml:space="preserve">,</w:t>
            </w:r>
            <w:r>
              <w:t xml:space="preserve"> </w:t>
            </w:r>
            <w:r>
              <w:rPr>
                <w:rStyle w:val="VerbatimChar"/>
              </w:rPr>
              <w:t xml:space="preserve">returnStrategy</w:t>
            </w:r>
            <w:r>
              <w:t xml:space="preserve"> </w:t>
            </w:r>
            <w:r>
              <w:t xml:space="preserve">+ 3–5 Empfehlungen) auf Basis der kumulierten Head-to-Head-Statistik (FA-08). Nicht persistiert; gleicher Rate-Limiter wie FA-11.</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FA-21 (V2)</w:t>
            </w:r>
          </w:p>
        </w:tc>
        <w:tc>
          <w:tcPr/>
          <w:p>
            <w:pPr>
              <w:pStyle w:val="Compact"/>
            </w:pPr>
            <w:r>
              <w:t xml:space="preserve">KI-Live-Coaching während des Matches</w:t>
            </w:r>
          </w:p>
        </w:tc>
        <w:tc>
          <w:tcPr/>
          <w:p>
            <w:pPr>
              <w:pStyle w:val="Compact"/>
            </w:pPr>
            <w:r>
              <w:t xml:space="preserve">Gleiche Adapter-Chain. Liefert konkrete Vorschläge bis zum nächsten Seitenwechsel. Nicht persistiert; gleicher Rate-Limiter wie FA-11.</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Mit FA-20 wurde die zweite KI-Rolle (Gegner-Vorbereitung) implementiert.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28"/>
        <w:gridCol w:w="7791"/>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Backend: Java 25 mit Spring Boot 4</w:t>
            </w:r>
          </w:p>
        </w:tc>
      </w:tr>
      <w:tr>
        <w:tc>
          <w:tcPr/>
          <w:p>
            <w:pPr>
              <w:pStyle w:val="Compact"/>
            </w:pPr>
            <w:r>
              <w:t xml:space="preserve">RB-T02</w:t>
            </w:r>
          </w:p>
        </w:tc>
        <w:tc>
          <w:tcPr/>
          <w:p>
            <w:pPr>
              <w:pStyle w:val="Compact"/>
            </w:pPr>
            <w:r>
              <w:t xml:space="preserve">Frontend: Angular mit Node.js (Build/Dev-Server) nginx für Betrieb (ADR-15)</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 Keycloak als Identity Provider (OAuth2/OIDC)</w:t>
            </w:r>
          </w:p>
        </w:tc>
      </w:tr>
      <w:tr>
        <w:tc>
          <w:tcPr/>
          <w:p>
            <w:pPr>
              <w:pStyle w:val="Compact"/>
            </w:pPr>
            <w:r>
              <w:t xml:space="preserve">RB-T05</w:t>
            </w:r>
          </w:p>
        </w:tc>
        <w:tc>
          <w:tcPr/>
          <w:p>
            <w:pPr>
              <w:pStyle w:val="Compact"/>
            </w:pPr>
            <w:r>
              <w:t xml:space="preserve">Deployment: Docker Container (docker-compose), Frontend + Backend + DB</w:t>
            </w:r>
          </w:p>
        </w:tc>
      </w:tr>
      <w:tr>
        <w:tc>
          <w:tcPr/>
          <w:p>
            <w:pPr>
              <w:pStyle w:val="Compact"/>
            </w:pPr>
            <w:r>
              <w:t xml:space="preserve">RB-T06</w:t>
            </w:r>
          </w:p>
        </w:tc>
        <w:tc>
          <w:tcPr/>
          <w:p>
            <w:pPr>
              <w:pStyle w:val="Compact"/>
            </w:pPr>
            <w:r>
              <w:t xml:space="preserve">Architekturstil:</w:t>
            </w:r>
            <w:r>
              <w:t xml:space="preserve"> </w:t>
            </w:r>
            <w:r>
              <w:rPr>
                <w:b/>
                <w:bCs/>
              </w:rPr>
              <w:t xml:space="preserve">modularer Monolith</w:t>
            </w:r>
            <w:r>
              <w:t xml:space="preserve"> </w:t>
            </w:r>
            <w:r>
              <w:t xml:space="preserve">als Gradle-Multi-Module-Projekt nach</w:t>
            </w:r>
            <w:r>
              <w:t xml:space="preserve"> </w:t>
            </w:r>
            <w:r>
              <w:rPr>
                <w:b/>
                <w:bCs/>
              </w:rPr>
              <w:t xml:space="preserve">Clean Architecture</w:t>
            </w:r>
            <w:r>
              <w:t xml:space="preserve"> </w:t>
            </w:r>
            <w:r>
              <w:t xml:space="preserve">(Domain → Application → Infrastructure/Adapter, Abhängigkeiten nur einwärts; framework-freie Domäne). Modulübergreifendes</w:t>
            </w:r>
            <w:r>
              <w:t xml:space="preserve"> </w:t>
            </w:r>
            <w:r>
              <w:rPr>
                <w:b/>
                <w:bCs/>
              </w:rPr>
              <w:t xml:space="preserve">Verhalten</w:t>
            </w:r>
            <w:r>
              <w:t xml:space="preserve"> </w:t>
            </w:r>
            <w:r>
              <w:t xml:space="preserve">nur über Application-Layer-Interfaces (Ports &amp; Adapters), keine Events. Stabile</w:t>
            </w:r>
            <w:r>
              <w:t xml:space="preserve"> </w:t>
            </w:r>
            <w:r>
              <w:rPr>
                <w:b/>
                <w:bCs/>
              </w:rPr>
              <w:t xml:space="preserve">Domänen-Wertobjekte</w:t>
            </w:r>
            <w:r>
              <w:t xml:space="preserve"> </w:t>
            </w:r>
            <w:r>
              <w:t xml:space="preserve">(</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modulübergreifend als lesendes Modell genutzt werden (ADR-13). Durchsetzung via</w:t>
            </w:r>
            <w:r>
              <w:t xml:space="preserve"> </w:t>
            </w:r>
            <w:r>
              <w:rPr>
                <w:rStyle w:val="VerbatimChar"/>
              </w:rPr>
              <w:t xml:space="preserve">ArchitectureTest</w:t>
            </w:r>
            <w:r>
              <w:t xml:space="preserve">.</w:t>
            </w:r>
          </w:p>
        </w:tc>
      </w:tr>
      <w:tr>
        <w:tc>
          <w:tcPr/>
          <w:p>
            <w:pPr>
              <w:pStyle w:val="Compact"/>
            </w:pPr>
            <w:r>
              <w:t xml:space="preserve">RB-T07</w:t>
            </w:r>
          </w:p>
        </w:tc>
        <w:tc>
          <w:tcPr/>
          <w:p>
            <w:pPr>
              <w:pStyle w:val="Compact"/>
            </w:pPr>
            <w:r>
              <w:t xml:space="preserve">Mailserver: Für die Entwicklung wurde MailHog verwendet, um E-Mail-Verifizierung und Passwort-Recovery zu testen. Für die Produktion muss dies durch einen transaktionalen Maildienst wie Mailgun oder SendGrid ersetzt werden.</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Selbsterklärend für Tennisspieler; Tennis-Fachbegriffe erlaubt.</w:t>
      </w:r>
    </w:p>
    <w:p>
      <w:pPr>
        <w:pStyle w:val="Compact"/>
        <w:numPr>
          <w:ilvl w:val="0"/>
          <w:numId w:val="1001"/>
        </w:numPr>
      </w:pPr>
      <w:r>
        <w:t xml:space="preserve">MVP als reine Web-App; native iOS-App in V2.</w:t>
      </w:r>
    </w:p>
    <w:p>
      <w:pPr>
        <w:pStyle w:val="Compact"/>
        <w:numPr>
          <w:ilvl w:val="0"/>
          <w:numId w:val="1001"/>
        </w:numPr>
      </w:pPr>
      <w:r>
        <w:t xml:space="preserve">Keine externen API-Integrationen in V1 (Swisstennis erst ab V4).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CaptionedFigure"/>
      </w:pPr>
      <w:r>
        <w:drawing>
          <wp:inline>
            <wp:extent cx="5039999" cy="3063872"/>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063872"/>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369"/>
        <w:gridCol w:w="3550"/>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t xml:space="preserve">Trainer / Eltern</w:t>
            </w:r>
          </w:p>
        </w:tc>
        <w:tc>
          <w:tcPr/>
          <w:p>
            <w:pPr>
              <w:pStyle w:val="Compact"/>
            </w:pPr>
            <w:r>
              <w:t xml:space="preserve">Erfassen Spielstände, rufen Statistiken ab, verwalten Spielerprofile.</w:t>
            </w:r>
          </w:p>
        </w:tc>
      </w:tr>
      <w:tr>
        <w:tc>
          <w:tcPr/>
          <w:p>
            <w:pPr>
              <w:pStyle w:val="Compact"/>
            </w:pPr>
            <w:r>
              <w:t xml:space="preserve">Keycloak (IDP)</w:t>
            </w:r>
          </w:p>
        </w:tc>
        <w:tc>
          <w:tcPr/>
          <w:p>
            <w:pPr>
              <w:pStyle w:val="Compact"/>
            </w:pPr>
            <w:r>
              <w:t xml:space="preserve">Authentifizierung/Autorisierung via OAuth2/OIDC; ab V2 zusätzlich Google als federated IDP.</w:t>
            </w:r>
          </w:p>
        </w:tc>
      </w:tr>
      <w:tr>
        <w:tc>
          <w:tcPr/>
          <w:p>
            <w:pPr>
              <w:pStyle w:val="Compact"/>
            </w:pPr>
            <w:r>
              <w:t xml:space="preserve">Swisstennis API (V4+)</w:t>
            </w:r>
          </w:p>
        </w:tc>
        <w:tc>
          <w:tcPr/>
          <w:p>
            <w:pPr>
              <w:pStyle w:val="Compact"/>
            </w:pPr>
            <w:r>
              <w:t xml:space="preserve">Zukünftiger Abruf offizieller Spieler-/Turnierdaten.</w:t>
            </w:r>
          </w:p>
        </w:tc>
      </w:tr>
      <w:tr>
        <w:tc>
          <w:tcPr/>
          <w:p>
            <w:pPr>
              <w:pStyle w:val="Compact"/>
            </w:pPr>
            <w:r>
              <w:t xml:space="preserve">Kamera-System (V5+)</w:t>
            </w:r>
          </w:p>
        </w:tc>
        <w:tc>
          <w:tcPr/>
          <w:p>
            <w:pPr>
              <w:pStyle w:val="Compact"/>
            </w:pPr>
            <w:r>
              <w:t xml:space="preserve">Automatische Erfassung von Aufsprungpunkten („Hawk Eye very light”).</w:t>
            </w:r>
          </w:p>
        </w:tc>
      </w:tr>
    </w:tbl>
    <w:bookmarkEnd w:id="21"/>
    <w:bookmarkStart w:id="22" w:name="technischer-kontext"/>
    <w:p>
      <w:pPr>
        <w:pStyle w:val="Heading3"/>
      </w:pPr>
      <w:r>
        <w:t xml:space="preserve">3.2 Technischer Kontext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(4200 in Dev)</w:t>
            </w:r>
          </w:p>
        </w:tc>
      </w:tr>
      <w:tr>
        <w:tc>
          <w:tcPr/>
          <w:p>
            <w:pPr>
              <w:pStyle w:val="Compact"/>
            </w:pPr>
            <w:r>
              <w:t xml:space="preserve">Frontend ↔ Spring Boot API</w:t>
            </w:r>
          </w:p>
        </w:tc>
        <w:tc>
          <w:tcPr/>
          <w:p>
            <w:pPr>
              <w:pStyle w:val="Compact"/>
            </w:pPr>
            <w:r>
              <w:t xml:space="preserve">REST/JSON über HTTPS, Port 8080</w:t>
            </w:r>
          </w:p>
        </w:tc>
      </w:tr>
      <w:tr>
        <w:tc>
          <w:tcPr/>
          <w:p>
            <w:pPr>
              <w:pStyle w:val="Compact"/>
            </w:pPr>
            <w:r>
              <w:t xml:space="preserve">API ↔ PostgreSQL</w:t>
            </w:r>
          </w:p>
        </w:tc>
        <w:tc>
          <w:tcPr/>
          <w:p>
            <w:pPr>
              <w:pStyle w:val="Compact"/>
            </w:pPr>
            <w:r>
              <w:t xml:space="preserve">JDBC/TCP, Port 5432</w:t>
            </w:r>
          </w:p>
        </w:tc>
      </w:tr>
      <w:tr>
        <w:tc>
          <w:tcPr/>
          <w:p>
            <w:pPr>
              <w:pStyle w:val="Compact"/>
            </w:pPr>
            <w:r>
              <w:t xml:space="preserve">API ↔ Keycloak</w:t>
            </w:r>
          </w:p>
        </w:tc>
        <w:tc>
          <w:tcPr/>
          <w:p>
            <w:pPr>
              <w:pStyle w:val="Compact"/>
            </w:pPr>
            <w:r>
              <w:t xml:space="preserve">OAuth2/OIDC, HTTPS, Port 8443</w:t>
            </w:r>
          </w:p>
        </w:tc>
      </w:tr>
      <w:tr>
        <w:tc>
          <w:tcPr/>
          <w:p>
            <w:pPr>
              <w:pStyle w:val="Compact"/>
            </w:pPr>
            <w:r>
              <w:t xml:space="preserve">Mailhog ↔ Keycloak</w:t>
            </w:r>
          </w:p>
        </w:tc>
        <w:tc>
          <w:tcPr/>
          <w:p>
            <w:pPr>
              <w:pStyle w:val="Compact"/>
            </w:pPr>
            <w:r>
              <w:t xml:space="preserve">SMTP Port 1025 (Web-UI :8025)</w:t>
            </w:r>
          </w:p>
        </w:tc>
      </w:tr>
    </w:tbl>
    <w:p>
      <w:pPr>
        <w:pStyle w:val="BodyText"/>
      </w:pPr>
      <w:r>
        <w:rPr>
          <w:b/>
          <w:bCs/>
        </w:rPr>
        <w:t xml:space="preserve">OpenAPI-Vertrag:</w:t>
      </w:r>
      <w:r>
        <w:t xml:space="preserve"> </w:t>
      </w:r>
      <w:r>
        <w:t xml:space="preserve">* Maschinenlesbar unter</w:t>
      </w:r>
      <w:r>
        <w:t xml:space="preserve"> </w:t>
      </w:r>
      <w:r>
        <w:rPr>
          <w:rStyle w:val="VerbatimChar"/>
        </w:rPr>
        <w:t xml:space="preserve">GET /v3/api-docs</w:t>
      </w:r>
      <w:r>
        <w:t xml:space="preserve"> </w:t>
      </w:r>
      <w:r>
        <w:t xml:space="preserve">(OpenAPI 3.x)</w:t>
      </w:r>
      <w:r>
        <w:t xml:space="preserve"> </w:t>
      </w:r>
      <w:r>
        <w:t xml:space="preserve">* Menschenlesbar unter</w:t>
      </w:r>
      <w:r>
        <w:t xml:space="preserve"> </w:t>
      </w:r>
      <w:r>
        <w:rPr>
          <w:rStyle w:val="VerbatimChar"/>
        </w:rPr>
        <w:t xml:space="preserve">GET /swagger-ui.html</w:t>
      </w:r>
      <w:r>
        <w:t xml:space="preserve">.</w:t>
      </w:r>
      <w:r>
        <w:t xml:space="preserve"> </w:t>
      </w:r>
      <w:r>
        <w:t xml:space="preserve">* Die Doc-Pfade sind</w:t>
      </w:r>
      <w:r>
        <w:t xml:space="preserve"> </w:t>
      </w:r>
      <w:r>
        <w:rPr>
          <w:rStyle w:val="VerbatimChar"/>
        </w:rPr>
        <w:t xml:space="preserve">permitAll()</w:t>
      </w:r>
      <w:r>
        <w:t xml:space="preserve">, die Operationen per Bearer-JWT geschützt (Scheme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Das Backend der Applikation wird für V1 als modularer Monolith implementiert da der Umfang noch zu gering ist, um die zusätzliche</w:t>
      </w:r>
      <w:r>
        <w:t xml:space="preserve"> </w:t>
      </w:r>
      <w:r>
        <w:t xml:space="preserve">Komplexität einer Micorservice Architektur zu rechtfertigen. Ein modularer Monolith vereinfacht das Deployment, die Fehlerbehandlung und Recovery,</w:t>
      </w:r>
      <w:r>
        <w:t xml:space="preserve"> </w:t>
      </w:r>
      <w:r>
        <w:t xml:space="preserve">wenn ein Service nicht verfügbar ist. Die interne Modularität erlaubt ein späteres Aufteilen in Services. Das Port-und-Adapter pattern erlaubt es, ein</w:t>
      </w:r>
      <w:r>
        <w:t xml:space="preserve"> </w:t>
      </w:r>
      <w:r>
        <w:t xml:space="preserve">anderes Kommunikationsprotokoll zu implementieren ohne die Businesslogik zu änderen. Fürs Live Coaching in V2 wäre ein asynchroner Ablauf denkbar.</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t xml:space="preserve">Backend</w:t>
            </w:r>
          </w:p>
        </w:tc>
        <w:tc>
          <w:tcPr/>
          <w:p>
            <w:pPr>
              <w:pStyle w:val="Compact"/>
            </w:pPr>
            <w:r>
              <w:t xml:space="preserve">Java 25, Spring Boot 4, Gradle Multi-Module</w:t>
            </w:r>
          </w:p>
        </w:tc>
        <w:tc>
          <w:tcPr/>
          <w:p>
            <w:pPr>
              <w:pStyle w:val="Compact"/>
            </w:pPr>
            <w:r>
              <w:t xml:space="preserve">Etabliertes Ökosystem; klare Modulgrenzen mit Compile-Zeit-Abhängigkeiten; synchrone Modul-Kommunikation über Interfaces.</w:t>
            </w:r>
          </w:p>
        </w:tc>
      </w:tr>
      <w:tr>
        <w:tc>
          <w:tcPr/>
          <w:p>
            <w:pPr>
              <w:pStyle w:val="Compact"/>
            </w:pPr>
            <w:r>
              <w:t xml:space="preserve">Frontend</w:t>
            </w:r>
          </w:p>
        </w:tc>
        <w:tc>
          <w:tcPr/>
          <w:p>
            <w:pPr>
              <w:pStyle w:val="Compact"/>
            </w:pPr>
            <w:r>
              <w:t xml:space="preserve">Angular, Angular Material, ngx-charts</w:t>
            </w:r>
          </w:p>
        </w:tc>
        <w:tc>
          <w:tcPr/>
          <w:p>
            <w:pPr>
              <w:pStyle w:val="Compact"/>
            </w:pPr>
            <w:r>
              <w:t xml:space="preserve">Typsicher, komponentenbasiert; touch-optimierte UI für Punkterfassung; ngx-charts für Statistik-Visualisierung.</w:t>
            </w:r>
          </w:p>
        </w:tc>
      </w:tr>
      <w:tr>
        <w:tc>
          <w:tcPr/>
          <w:p>
            <w:pPr>
              <w:pStyle w:val="Compact"/>
            </w:pPr>
            <w:r>
              <w:t xml:space="preserve">Datenbank</w:t>
            </w:r>
          </w:p>
        </w:tc>
        <w:tc>
          <w:tcPr/>
          <w:p>
            <w:pPr>
              <w:pStyle w:val="Compact"/>
            </w:pPr>
            <w:r>
              <w:t xml:space="preserve">PostgreSQL</w:t>
            </w:r>
          </w:p>
        </w:tc>
        <w:tc>
          <w:tcPr/>
          <w:p>
            <w:pPr>
              <w:pStyle w:val="Compact"/>
            </w:pPr>
            <w:r>
              <w:t xml:space="preserve">Verbreitet, Open Source, gute relationale Unterstützung.</w:t>
            </w:r>
          </w:p>
        </w:tc>
      </w:tr>
      <w:tr>
        <w:tc>
          <w:tcPr/>
          <w:p>
            <w:pPr>
              <w:pStyle w:val="Compact"/>
            </w:pPr>
            <w:r>
              <w:t xml:space="preserve">Security</w:t>
            </w:r>
          </w:p>
        </w:tc>
        <w:tc>
          <w:tcPr/>
          <w:p>
            <w:pPr>
              <w:pStyle w:val="Compact"/>
            </w:pPr>
            <w:r>
              <w:t xml:space="preserve">Keycloak</w:t>
            </w:r>
          </w:p>
        </w:tc>
        <w:tc>
          <w:tcPr/>
          <w:p>
            <w:pPr>
              <w:pStyle w:val="Compact"/>
            </w:pPr>
            <w:r>
              <w:t xml:space="preserve">Standard für OIDC/OAuth2; federated IDPs (Google) einbettbar.</w:t>
            </w:r>
          </w:p>
        </w:tc>
      </w:tr>
      <w:tr>
        <w:tc>
          <w:tcPr/>
          <w:p>
            <w:pPr>
              <w:pStyle w:val="Compact"/>
            </w:pPr>
            <w:r>
              <w:t xml:space="preserve">Deployment</w:t>
            </w:r>
          </w:p>
        </w:tc>
        <w:tc>
          <w:tcPr/>
          <w:p>
            <w:pPr>
              <w:pStyle w:val="Compact"/>
            </w:pPr>
            <w:r>
              <w:t xml:space="preserve">Docker / Compose</w:t>
            </w:r>
          </w:p>
        </w:tc>
        <w:tc>
          <w:tcPr/>
          <w:p>
            <w:pPr>
              <w:pStyle w:val="Compact"/>
            </w:pPr>
            <w:r>
              <w:t xml:space="preserve">Konsistente Umgebung über Dev, Test, Prod.</w:t>
            </w:r>
          </w:p>
        </w:tc>
      </w:tr>
      <w:tr>
        <w:tc>
          <w:tcPr/>
          <w:p>
            <w:pPr>
              <w:pStyle w:val="Compact"/>
            </w:pPr>
            <w:r>
              <w:t xml:space="preserve">KI / LLM</w:t>
            </w:r>
          </w:p>
        </w:tc>
        <w:tc>
          <w:tcPr/>
          <w:p>
            <w:pPr>
              <w:pStyle w:val="Compact"/>
            </w:pPr>
            <w:r>
              <w:t xml:space="preserve">Spring AI 2.0.x mit OpenAI (</w:t>
            </w:r>
            <w:r>
              <w:rPr>
                <w:rStyle w:val="VerbatimChar"/>
              </w:rPr>
              <w:t xml:space="preserve">gpt-4o-mini</w:t>
            </w:r>
            <w:r>
              <w:t xml:space="preserve"> </w:t>
            </w:r>
            <w:r>
              <w:t xml:space="preserve">Default)</w:t>
            </w:r>
          </w:p>
        </w:tc>
        <w:tc>
          <w:tcPr/>
          <w:p>
            <w:pPr>
              <w:pStyle w:val="Compact"/>
            </w:pPr>
            <w:r>
              <w:t xml:space="preserve">Boot-4-kompatibel;</w:t>
            </w:r>
            <w:r>
              <w:t xml:space="preserve"> </w:t>
            </w:r>
            <w:r>
              <w:rPr>
                <w:rStyle w:val="VerbatimChar"/>
              </w:rPr>
              <w:t xml:space="preserve">ChatClient</w:t>
            </w:r>
            <w:r>
              <w:t xml:space="preserve"> </w:t>
            </w:r>
            <w:r>
              <w:t xml:space="preserve">mit strukturiertem JSON-Output (BeanOutputConverter). Der</w:t>
            </w:r>
            <w:r>
              <w:t xml:space="preserve"> </w:t>
            </w:r>
            <w:r>
              <w:rPr>
                <w:rStyle w:val="VerbatimChar"/>
              </w:rPr>
              <w:t xml:space="preserve">LlmClientPort</w:t>
            </w:r>
            <w:r>
              <w:t xml:space="preserve"> </w:t>
            </w:r>
            <w:r>
              <w:t xml:space="preserve">erlaubt späteren Wechsel auf Anthropic/Ollama ohne Use-Case-Refactoring. Coach-Notizen (</w:t>
            </w:r>
            <w:r>
              <w:rPr>
                <w:rStyle w:val="VerbatimChar"/>
              </w:rPr>
              <w:t xml:space="preserve">match_player_notes</w:t>
            </w:r>
            <w:r>
              <w:t xml:space="preserve">, FA-22) werden im</w:t>
            </w:r>
            <w:r>
              <w:t xml:space="preserve"> </w:t>
            </w:r>
            <w:r>
              <w:rPr>
                <w:rStyle w:val="VerbatimChar"/>
              </w:rPr>
              <w:t xml:space="preserve">PromptBuilder</w:t>
            </w:r>
            <w:r>
              <w:t xml:space="preserve"> </w:t>
            </w:r>
            <w:r>
              <w:t xml:space="preserve">injiziert — ins Postmortem die Match-Notizen, in die Gegner-Vorbereitung die Notizen über den Gegner aus abgeschlossenen Matches.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Version</w:t>
            </w:r>
          </w:p>
        </w:tc>
        <w:tc>
          <w:tcPr/>
          <w:p>
            <w:pPr>
              <w:pStyle w:val="Compact"/>
            </w:pPr>
            <w:r>
              <w:t xml:space="preserve">Umfang</w:t>
            </w:r>
          </w:p>
        </w:tc>
      </w:tr>
      <w:tr>
        <w:tc>
          <w:tcPr/>
          <w:p>
            <w:pPr>
              <w:pStyle w:val="Compact"/>
            </w:pPr>
            <w:r>
              <w:t xml:space="preserve">V1 (MVP)</w:t>
            </w:r>
          </w:p>
        </w:tc>
        <w:tc>
          <w:tcPr/>
          <w:p>
            <w:pPr>
              <w:pStyle w:val="Compact"/>
            </w:pPr>
            <w:r>
              <w:t xml:space="preserve">Web-App: Punkterfassung, Spielerverwaltung, Basis-Statistiken (Head-to-Head, Winner%, Serve%), Registrierung/Login via Keycloak. KI-Postmortem: strukturierte taktische Auswertung nach Match-Ende (Schlüsselmomente, Stärken/Schwächen, 3–5 Empfehlungen).</w:t>
            </w:r>
          </w:p>
        </w:tc>
      </w:tr>
      <w:tr>
        <w:tc>
          <w:tcPr/>
          <w:p>
            <w:pPr>
              <w:pStyle w:val="Compact"/>
            </w:pPr>
            <w:r>
              <w:t xml:space="preserve">V2</w:t>
            </w:r>
          </w:p>
        </w:tc>
        <w:tc>
          <w:tcPr/>
          <w:p>
            <w:pPr>
              <w:pStyle w:val="Compact"/>
            </w:pPr>
            <w:r>
              <w:t xml:space="preserve">Google als federated IDP, erweiterte Statistiken, natives iOS-Frontend (Swift), KI-Live-Coaching, KI-Gegner-Vorbereitung (Head-to-Head).</w:t>
            </w:r>
          </w:p>
        </w:tc>
      </w:tr>
      <w:tr>
        <w:tc>
          <w:tcPr/>
          <w:p>
            <w:pPr>
              <w:pStyle w:val="Compact"/>
            </w:pPr>
            <w:r>
              <w:t xml:space="preserve">V3</w:t>
            </w:r>
          </w:p>
        </w:tc>
        <w:tc>
          <w:tcPr/>
          <w:p>
            <w:pPr>
              <w:pStyle w:val="Compact"/>
            </w:pPr>
            <w:r>
              <w:t xml:space="preserve">Aufsprungpunkte via Touch auf skizziertem Feld.</w:t>
            </w:r>
          </w:p>
        </w:tc>
      </w:tr>
      <w:tr>
        <w:tc>
          <w:tcPr/>
          <w:p>
            <w:pPr>
              <w:pStyle w:val="Compact"/>
            </w:pPr>
            <w:r>
              <w:t xml:space="preserve">V4</w:t>
            </w:r>
          </w:p>
        </w:tc>
        <w:tc>
          <w:tcPr/>
          <w:p>
            <w:pPr>
              <w:pStyle w:val="Compact"/>
            </w:pPr>
            <w:r>
              <w:t xml:space="preserve">Swisstennis-API-Integration (falls möglich).</w:t>
            </w:r>
          </w:p>
        </w:tc>
      </w:tr>
      <w:tr>
        <w:tc>
          <w:tcPr/>
          <w:p>
            <w:pPr>
              <w:pStyle w:val="Compact"/>
            </w:pPr>
            <w:r>
              <w:t xml:space="preserve">V5</w:t>
            </w:r>
          </w:p>
        </w:tc>
        <w:tc>
          <w:tcPr/>
          <w:p>
            <w:pPr>
              <w:pStyle w:val="Compact"/>
            </w:pPr>
            <w:r>
              <w:t xml:space="preserve">Kameraanbindung für automatische Aufsprungpunkt-Erfassung.</w:t>
            </w:r>
          </w:p>
        </w:tc>
      </w:tr>
    </w:tbl>
    <w:p>
      <w:r>
        <w:pict>
          <v:rect style="width:0;height:1.5pt" o:hralign="center" o:hrstd="t" o:hr="t"/>
        </w:pict>
      </w:r>
    </w:p>
    <w:bookmarkEnd w:id="26"/>
    <w:bookmarkEnd w:id="27"/>
    <w:bookmarkStart w:id="43" w:name="bausteinsicht"/>
    <w:p>
      <w:pPr>
        <w:pStyle w:val="Heading2"/>
      </w:pPr>
      <w:r>
        <w:t xml:space="preserve">5. Bausteinsicht</w:t>
      </w:r>
    </w:p>
    <w:bookmarkStart w:id="32" w:name="whitebox-gesamtsystem"/>
    <w:p>
      <w:pPr>
        <w:pStyle w:val="Heading3"/>
      </w:pPr>
      <w:r>
        <w:t xml:space="preserve">5.1 Whitebox Gesamtsystem</w:t>
      </w:r>
    </w:p>
    <w:p>
      <w:pPr>
        <w:pStyle w:val="CaptionedFigure"/>
      </w:pPr>
      <w:r>
        <w:drawing>
          <wp:inline>
            <wp:extent cx="5334000" cy="2618344"/>
            <wp:effectExtent b="0" l="0" r="0" t="0"/>
            <wp:docPr descr="TSaS – Whitebox Gesamtsystem" title="" id="29" name="Picture"/>
            <a:graphic>
              <a:graphicData uri="http://schemas.openxmlformats.org/drawingml/2006/picture">
                <pic:pic>
                  <pic:nvPicPr>
                    <pic:cNvPr descr="Whitebox_Gesamtsystem.png" id="30" name="Picture"/>
                    <pic:cNvPicPr>
                      <a:picLocks noChangeArrowheads="1" noChangeAspect="1"/>
                    </pic:cNvPicPr>
                  </pic:nvPicPr>
                  <pic:blipFill>
                    <a:blip r:embed="rId28"/>
                    <a:stretch>
                      <a:fillRect/>
                    </a:stretch>
                  </pic:blipFill>
                  <pic:spPr bwMode="auto">
                    <a:xfrm>
                      <a:off x="0" y="0"/>
                      <a:ext cx="5334000" cy="2618344"/>
                    </a:xfrm>
                    <a:prstGeom prst="rect">
                      <a:avLst/>
                    </a:prstGeom>
                    <a:noFill/>
                    <a:ln w="9525">
                      <a:noFill/>
                      <a:headEnd/>
                      <a:tailEnd/>
                    </a:ln>
                  </pic:spPr>
                </pic:pic>
              </a:graphicData>
            </a:graphic>
          </wp:inline>
        </w:drawing>
      </w:r>
    </w:p>
    <w:p>
      <w:pPr>
        <w:pStyle w:val="ImageCaption"/>
      </w:pPr>
      <w:r>
        <w:t xml:space="preserve">TSaS – Whitebox Gesamtsystem</w:t>
      </w:r>
    </w:p>
    <w:p>
      <w:pPr>
        <w:pStyle w:val="BodyText"/>
      </w:pPr>
      <w:r>
        <w:rPr>
          <w:i/>
          <w:iCs/>
        </w:rPr>
        <w:t xml:space="preserve">Quelle:</w:t>
      </w:r>
      <w:r>
        <w:rPr>
          <w:i/>
          <w:iCs/>
        </w:rPr>
        <w:t xml:space="preserve"> </w:t>
      </w:r>
      <w:hyperlink r:id="rId31">
        <w:r>
          <w:rPr>
            <w:rStyle w:val="VerbatimChar"/>
            <w:i/>
            <w:iCs/>
          </w:rPr>
          <w:t xml:space="preserve">diagrams/TSaS_Whitebox_Gesamtsystem.drawio</w:t>
        </w:r>
      </w:hyperlink>
    </w:p>
    <w:bookmarkEnd w:id="32"/>
    <w:bookmarkStart w:id="37" w:name="backend-module-modularer-monolith"/>
    <w:p>
      <w:pPr>
        <w:pStyle w:val="Heading3"/>
      </w:pPr>
      <w:r>
        <w:t xml:space="preserve">5.2 Backend-Module (Modularer Monolith)</w:t>
      </w:r>
    </w:p>
    <w:p>
      <w:pPr>
        <w:pStyle w:val="FirstParagraph"/>
      </w:pPr>
      <w:r>
        <w:t xml:space="preserve">Jedes Modul kapselt Domänenlogik, Repositories und REST-Endpunkte.</w:t>
      </w:r>
    </w:p>
    <w:tbl>
      <w:tblPr>
        <w:tblStyle w:val="Table"/>
        <w:tblW w:type="pct" w:w="5000"/>
        <w:tblLayout w:type="fixed"/>
        <w:tblLook w:firstRow="1" w:lastRow="0" w:firstColumn="0" w:lastColumn="0" w:noHBand="0" w:noVBand="0" w:val="0020"/>
      </w:tblPr>
      <w:tblGrid>
        <w:gridCol w:w="195"/>
        <w:gridCol w:w="7724"/>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Spielerprofile (Name, Geschlecht, Ranking, Spielhand, Backhand-Typ); CRUD + Suche.</w:t>
            </w:r>
          </w:p>
        </w:tc>
      </w:tr>
      <w:tr>
        <w:tc>
          <w:tcPr/>
          <w:p>
            <w:pPr>
              <w:pStyle w:val="Compact"/>
            </w:pPr>
            <w:r>
              <w:rPr>
                <w:rStyle w:val="VerbatimChar"/>
              </w:rPr>
              <w:t xml:space="preserve">match-module</w:t>
            </w:r>
          </w:p>
        </w:tc>
        <w:tc>
          <w:tcPr/>
          <w:p>
            <w:pPr>
              <w:pStyle w:val="Compact"/>
            </w:pPr>
            <w:r>
              <w:t xml:space="preserve">Matches mit Format (Gewinnsätze, Match-Tiebreak, Short Set), Sets/Spiele.</w:t>
            </w:r>
            <w:r>
              <w:t xml:space="preserve"> </w:t>
            </w:r>
            <w:r>
              <w:rPr>
                <w:b/>
                <w:bCs/>
              </w:rPr>
              <w:t xml:space="preserve">Umfasst Scoring</w:t>
            </w:r>
            <w:r>
              <w:t xml:space="preserve"> </w:t>
            </w:r>
            <w:r>
              <w:t xml:space="preserve">(</w:t>
            </w:r>
            <w:r>
              <w:rPr>
                <w:rStyle w:val="VerbatimChar"/>
              </w:rPr>
              <w:t xml:space="preserve">ScoringService</w:t>
            </w:r>
            <w:r>
              <w:t xml:space="preserve">) sowie</w:t>
            </w:r>
            <w:r>
              <w:t xml:space="preserve"> </w:t>
            </w:r>
            <w:r>
              <w:rPr>
                <w:b/>
                <w:bCs/>
              </w:rPr>
              <w:t xml:space="preserve">Coach-Freitext-Notizen je Spieler</w:t>
            </w:r>
            <w:r>
              <w:t xml:space="preserve">, FA-22). Das früher separate</w:t>
            </w:r>
            <w:r>
              <w:t xml:space="preserve"> </w:t>
            </w:r>
            <w:r>
              <w:rPr>
                <w:rStyle w:val="VerbatimChar"/>
              </w:rPr>
              <w:t xml:space="preserve">scoring-module</w:t>
            </w:r>
            <w:r>
              <w:t xml:space="preserve"> </w:t>
            </w:r>
            <w:r>
              <w:t xml:space="preserve">ist hier konsolidiert (ADR-12).</w:t>
            </w:r>
          </w:p>
        </w:tc>
      </w:tr>
      <w:tr>
        <w:tc>
          <w:tcPr/>
          <w:p>
            <w:pPr>
              <w:pStyle w:val="Compact"/>
            </w:pPr>
            <w:r>
              <w:rPr>
                <w:rStyle w:val="VerbatimChar"/>
              </w:rPr>
              <w:t xml:space="preserve">statistics-module</w:t>
            </w:r>
          </w:p>
        </w:tc>
        <w:tc>
          <w:tcPr/>
          <w:p>
            <w:pPr>
              <w:pStyle w:val="Compact"/>
            </w:pPr>
            <w:r>
              <w:t xml:space="preserve">Statistiken (Head-to-Head, Winner%, UE%, First/Second Serve%, DF, Aces), on-the-fly aus</w:t>
            </w:r>
            <w:r>
              <w:t xml:space="preserve"> </w:t>
            </w:r>
            <w:r>
              <w:rPr>
                <w:rStyle w:val="VerbatimChar"/>
              </w:rPr>
              <w:t xml:space="preserve">points</w:t>
            </w:r>
            <w:r>
              <w:t xml:space="preserve"> </w:t>
            </w:r>
            <w:r>
              <w:t xml:space="preserve">berechnet. (FA-8 und FA-17).</w:t>
            </w:r>
          </w:p>
        </w:tc>
      </w:tr>
      <w:tr>
        <w:tc>
          <w:tcPr/>
          <w:p>
            <w:pPr>
              <w:pStyle w:val="Compact"/>
            </w:pPr>
            <w:r>
              <w:rPr>
                <w:rStyle w:val="VerbatimChar"/>
              </w:rPr>
              <w:t xml:space="preserve">auth-module</w:t>
            </w:r>
          </w:p>
        </w:tc>
        <w:tc>
          <w:tcPr/>
          <w:p>
            <w:pPr>
              <w:pStyle w:val="Compact"/>
            </w:pPr>
            <w:r>
              <w:t xml:space="preserve">Keycloak-Integration: Token-Validierung, Rollenprüfung, Benutzerverwaltung.</w:t>
            </w:r>
          </w:p>
        </w:tc>
      </w:tr>
      <w:tr>
        <w:tc>
          <w:tcPr/>
          <w:p>
            <w:pPr>
              <w:pStyle w:val="Compact"/>
            </w:pPr>
            <w:r>
              <w:rPr>
                <w:rStyle w:val="VerbatimChar"/>
              </w:rPr>
              <w:t xml:space="preserve">ai-module</w:t>
            </w:r>
          </w:p>
        </w:tc>
        <w:tc>
          <w:tcPr/>
          <w:p>
            <w:pPr>
              <w:pStyle w:val="Compact"/>
            </w:pPr>
            <w:r>
              <w:t xml:space="preserve">KI-Analyse. Konsumiert</w:t>
            </w:r>
            <w:r>
              <w:t xml:space="preserve"> </w:t>
            </w:r>
            <w:r>
              <w:rPr>
                <w:rStyle w:val="VerbatimChar"/>
              </w:rPr>
              <w:t xml:space="preserve">statistics-module</w:t>
            </w:r>
            <w:r>
              <w:t xml:space="preserve">,</w:t>
            </w:r>
            <w:r>
              <w:t xml:space="preserve"> </w:t>
            </w:r>
            <w:r>
              <w:rPr>
                <w:rStyle w:val="VerbatimChar"/>
              </w:rPr>
              <w:t xml:space="preserve">player-module</w:t>
            </w:r>
            <w:r>
              <w:t xml:space="preserve"> </w:t>
            </w:r>
            <w:r>
              <w:t xml:space="preserve">und</w:t>
            </w:r>
            <w:r>
              <w:t xml:space="preserve"> </w:t>
            </w:r>
            <w:r>
              <w:rPr>
                <w:rStyle w:val="VerbatimChar"/>
              </w:rPr>
              <w:t xml:space="preserve">match-module</w:t>
            </w:r>
            <w:r>
              <w:t xml:space="preserve">, ruft via</w:t>
            </w:r>
            <w:r>
              <w:t xml:space="preserve"> </w:t>
            </w:r>
            <w:r>
              <w:rPr>
                <w:rStyle w:val="VerbatimChar"/>
              </w:rPr>
              <w:t xml:space="preserve">LlmClientPort</w:t>
            </w:r>
            <w:r>
              <w:t xml:space="preserve"> </w:t>
            </w:r>
            <w:r>
              <w:t xml:space="preserve">ein LLM und persistiert</w:t>
            </w:r>
            <w:r>
              <w:t xml:space="preserve"> </w:t>
            </w:r>
            <w:r>
              <w:rPr>
                <w:rStyle w:val="VerbatimChar"/>
              </w:rPr>
              <w:t xml:space="preserve">MatchAnalysis</w:t>
            </w:r>
            <w:r>
              <w:t xml:space="preserve"> </w:t>
            </w:r>
            <w:r>
              <w:t xml:space="preserve">(1:1 zum Match).</w:t>
            </w:r>
          </w:p>
        </w:tc>
      </w:tr>
      <w:tr>
        <w:tc>
          <w:tcPr/>
          <w:p>
            <w:pPr>
              <w:pStyle w:val="Compact"/>
            </w:pPr>
            <w:r>
              <w:rPr>
                <w:rStyle w:val="VerbatimChar"/>
              </w:rPr>
              <w:t xml:space="preserve">common-module</w:t>
            </w:r>
          </w:p>
        </w:tc>
        <w:tc>
          <w:tcPr/>
          <w:p>
            <w:pPr>
              <w:pStyle w:val="Compact"/>
            </w:pPr>
            <w:r>
              <w:t xml:space="preserve">Shared Kernel: gemeinsame DTOs, Exceptions, Konfiguration, Utilities.</w:t>
            </w:r>
          </w:p>
        </w:tc>
      </w:tr>
    </w:tbl>
    <w:p>
      <w:pPr>
        <w:pStyle w:val="CaptionedFigure"/>
      </w:pPr>
      <w:r>
        <w:drawing>
          <wp:inline>
            <wp:extent cx="5334000" cy="3387331"/>
            <wp:effectExtent b="0" l="0" r="0" t="0"/>
            <wp:docPr descr="TSaS Backend – Fachliche Module" title="" id="34" name="Picture"/>
            <a:graphic>
              <a:graphicData uri="http://schemas.openxmlformats.org/drawingml/2006/picture">
                <pic:pic>
                  <pic:nvPicPr>
                    <pic:cNvPr descr="Backend_Module.png" id="35" name="Picture"/>
                    <pic:cNvPicPr>
                      <a:picLocks noChangeArrowheads="1" noChangeAspect="1"/>
                    </pic:cNvPicPr>
                  </pic:nvPicPr>
                  <pic:blipFill>
                    <a:blip r:embed="rId33"/>
                    <a:stretch>
                      <a:fillRect/>
                    </a:stretch>
                  </pic:blipFill>
                  <pic:spPr bwMode="auto">
                    <a:xfrm>
                      <a:off x="0" y="0"/>
                      <a:ext cx="5334000" cy="338733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6">
        <w:r>
          <w:rPr>
            <w:rStyle w:val="VerbatimChar"/>
            <w:i/>
            <w:iCs/>
          </w:rPr>
          <w:t xml:space="preserve">diagrams/TSaS_Backend_Module.drawio</w:t>
        </w:r>
      </w:hyperlink>
    </w:p>
    <w:bookmarkEnd w:id="37"/>
    <w:bookmarkStart w:id="42" w:name="Xdde48f936cf8430c2326803bb37fe317373f62f"/>
    <w:p>
      <w:pPr>
        <w:pStyle w:val="Heading3"/>
      </w:pPr>
      <w:r>
        <w:t xml:space="preserve">5.3 Backend – Clean Architecture (Schichten &amp; Ports)</w:t>
      </w:r>
    </w:p>
    <w:p>
      <w:pPr>
        <w:pStyle w:val="FirstParagraph"/>
      </w:pPr>
      <w:r>
        <w:t xml:space="preserve">Jedes Modul ist intern nach Clean Architecture / Ports &amp; Adapters aufgebaut; Abhängigkeiten zeigen einwärts (</w:t>
      </w:r>
      <w:r>
        <w:rPr>
          <w:b/>
          <w:bCs/>
        </w:rPr>
        <w:t xml:space="preserve">Infrastructure → Application → Domain</w:t>
      </w:r>
      <w:r>
        <w:t xml:space="preserve">), die Domain bleibt framework-frei.</w:t>
      </w:r>
    </w:p>
    <w:p>
      <w:pPr>
        <w:pStyle w:val="Compact"/>
        <w:numPr>
          <w:ilvl w:val="0"/>
          <w:numId w:val="1002"/>
        </w:numPr>
      </w:pPr>
      <w:r>
        <w:rPr>
          <w:b/>
          <w:bCs/>
        </w:rPr>
        <w:t xml:space="preserve">Domain</w:t>
      </w:r>
      <w:r>
        <w:t xml:space="preserve"> </w:t>
      </w:r>
      <w:r>
        <w:t xml:space="preserve">– Modelle und Geschäftsregeln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w:t>
      </w:r>
    </w:p>
    <w:p>
      <w:pPr>
        <w:pStyle w:val="Compact"/>
        <w:numPr>
          <w:ilvl w:val="0"/>
          <w:numId w:val="1002"/>
        </w:numPr>
      </w:pPr>
      <w:r>
        <w:rPr>
          <w:b/>
          <w:bCs/>
        </w:rPr>
        <w:t xml:space="preserve">Application</w:t>
      </w:r>
      <w:r>
        <w:t xml:space="preserve"> </w:t>
      </w:r>
      <w:r>
        <w:t xml:space="preserve">– Use-Case-Interfaces (</w:t>
      </w:r>
      <w:r>
        <w:rPr>
          <w:rStyle w:val="VerbatimChar"/>
        </w:rPr>
        <w:t xml:space="preserve">port/in</w:t>
      </w:r>
      <w:r>
        <w:t xml:space="preserve">) mit</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MatchAnalysisService</w:t>
      </w:r>
      <w:r>
        <w:t xml:space="preserve">, …) sowie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2"/>
        </w:numPr>
      </w:pPr>
      <w:r>
        <w:rPr>
          <w:b/>
          <w:bCs/>
        </w:rPr>
        <w:t xml:space="preserve">Infrastructure</w:t>
      </w:r>
      <w:r>
        <w:t xml:space="preserve"> </w:t>
      </w:r>
      <w:r>
        <w:t xml:space="preserve">– Adapter: REST-Controller (</w:t>
      </w:r>
      <w:r>
        <w:rPr>
          <w:rStyle w:val="VerbatimChar"/>
        </w:rPr>
        <w:t xml:space="preserve">web</w:t>
      </w:r>
      <w:r>
        <w:t xml:space="preserve">), JPA-Persistenz, LLM-Adapter (</w:t>
      </w:r>
      <w:r>
        <w:rPr>
          <w:rStyle w:val="VerbatimChar"/>
        </w:rPr>
        <w:t xml:space="preserve">OpenAiLlmAdapter</w:t>
      </w:r>
      <w:r>
        <w:t xml:space="preserve">/</w:t>
      </w:r>
      <w:r>
        <w:rPr>
          <w:rStyle w:val="VerbatimChar"/>
        </w:rPr>
        <w:t xml:space="preserve">FakeLlmClientAdapter</w:t>
      </w:r>
      <w:r>
        <w:t xml:space="preserve">), Security/Config.</w:t>
      </w:r>
    </w:p>
    <w:p>
      <w:pPr>
        <w:pStyle w:val="FirstParagraph"/>
      </w:pPr>
      <w:r>
        <w:t xml:space="preserve">Die Austauschbarkeit zeigt sich am</w:t>
      </w:r>
      <w:r>
        <w:t xml:space="preserve"> </w:t>
      </w:r>
      <w:r>
        <w:rPr>
          <w:rStyle w:val="VerbatimChar"/>
        </w:rPr>
        <w:t xml:space="preserve">LlmClientPort</w:t>
      </w:r>
      <w:r>
        <w:t xml:space="preserve">. Der produktiver</w:t>
      </w:r>
      <w:r>
        <w:t xml:space="preserve"> </w:t>
      </w:r>
      <w:r>
        <w:rPr>
          <w:rStyle w:val="VerbatimChar"/>
        </w:rPr>
        <w:t xml:space="preserve">OpenAiLlmAdapter</w:t>
      </w:r>
      <w:r>
        <w:t xml:space="preserve"> </w:t>
      </w:r>
      <w:r>
        <w:t xml:space="preserve">und der deterministischer</w:t>
      </w:r>
      <w:r>
        <w:t xml:space="preserve"> </w:t>
      </w:r>
      <w:r>
        <w:rPr>
          <w:rStyle w:val="VerbatimChar"/>
        </w:rPr>
        <w:t xml:space="preserve">FakeLlmClientAdapter</w:t>
      </w:r>
      <w:r>
        <w:t xml:space="preserve"> </w:t>
      </w:r>
      <w:r>
        <w:t xml:space="preserve">implementieren denselben Port — der Use Case bleibt unverändert. So kann der UseCase getestet werden.</w:t>
      </w:r>
    </w:p>
    <w:p>
      <w:pPr>
        <w:pStyle w:val="CaptionedFigure"/>
      </w:pPr>
      <w:r>
        <w:drawing>
          <wp:inline>
            <wp:extent cx="5334000" cy="4357016"/>
            <wp:effectExtent b="0" l="0" r="0" t="0"/>
            <wp:docPr descr="TSaS Backend – Clean Architecture (Klassen-Detail)" title="" id="39" name="Picture"/>
            <a:graphic>
              <a:graphicData uri="http://schemas.openxmlformats.org/drawingml/2006/picture">
                <pic:pic>
                  <pic:nvPicPr>
                    <pic:cNvPr descr="Backend_CleanArchitecture.png" id="40" name="Picture"/>
                    <pic:cNvPicPr>
                      <a:picLocks noChangeArrowheads="1" noChangeAspect="1"/>
                    </pic:cNvPicPr>
                  </pic:nvPicPr>
                  <pic:blipFill>
                    <a:blip r:embed="rId38"/>
                    <a:stretch>
                      <a:fillRect/>
                    </a:stretch>
                  </pic:blipFill>
                  <pic:spPr bwMode="auto">
                    <a:xfrm>
                      <a:off x="0" y="0"/>
                      <a:ext cx="5334000" cy="435701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41">
        <w:r>
          <w:rPr>
            <w:rStyle w:val="VerbatimChar"/>
            <w:i/>
            <w:iCs/>
          </w:rPr>
          <w:t xml:space="preserve">diagrams/TSaS_Backend_CleanArchitecture.drawio</w:t>
        </w:r>
      </w:hyperlink>
    </w:p>
    <w:p>
      <w:r>
        <w:pict>
          <v:rect style="width:0;height:1.5pt" o:hralign="center" o:hrstd="t" o:hr="t"/>
        </w:pict>
      </w:r>
    </w:p>
    <w:bookmarkEnd w:id="42"/>
    <w:bookmarkEnd w:id="43"/>
    <w:bookmarkStart w:id="59" w:name="laufzeitsicht"/>
    <w:p>
      <w:pPr>
        <w:pStyle w:val="Heading2"/>
      </w:pPr>
      <w:r>
        <w:t xml:space="preserve">6. Laufzeitsicht</w:t>
      </w:r>
    </w:p>
    <w:bookmarkStart w:id="48" w:name="szenario-punkt-erfassen"/>
    <w:p>
      <w:pPr>
        <w:pStyle w:val="Heading3"/>
      </w:pPr>
      <w:r>
        <w:t xml:space="preserve">6.1 Szenario: Punkt erfassen</w:t>
      </w:r>
    </w:p>
    <w:p>
      <w:pPr>
        <w:pStyle w:val="CaptionedFigure"/>
      </w:pPr>
      <w:r>
        <w:drawing>
          <wp:inline>
            <wp:extent cx="5039999" cy="3050458"/>
            <wp:effectExtent b="0" l="0" r="0" t="0"/>
            <wp:docPr descr="TSaS – Punkt erfassen (Sequenz)" title="" id="45" name="Picture"/>
            <a:graphic>
              <a:graphicData uri="http://schemas.openxmlformats.org/drawingml/2006/picture">
                <pic:pic>
                  <pic:nvPicPr>
                    <pic:cNvPr descr="Seq_RecordPoint.png" id="46" name="Picture"/>
                    <pic:cNvPicPr>
                      <a:picLocks noChangeArrowheads="1" noChangeAspect="1"/>
                    </pic:cNvPicPr>
                  </pic:nvPicPr>
                  <pic:blipFill>
                    <a:blip r:embed="rId44"/>
                    <a:stretch>
                      <a:fillRect/>
                    </a:stretch>
                  </pic:blipFill>
                  <pic:spPr bwMode="auto">
                    <a:xfrm>
                      <a:off x="0" y="0"/>
                      <a:ext cx="5039999" cy="3050458"/>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7">
        <w:r>
          <w:rPr>
            <w:rStyle w:val="VerbatimChar"/>
            <w:i/>
            <w:iCs/>
          </w:rPr>
          <w:t xml:space="preserve">diagrams/TSaS_Seq_RecordPoint.puml</w:t>
        </w:r>
      </w:hyperlink>
      <w:r>
        <w:rPr>
          <w:i/>
          <w:iCs/>
        </w:rPr>
        <w:t xml:space="preserve">.</w:t>
      </w:r>
    </w:p>
    <w:p>
      <w:pPr>
        <w:pStyle w:val="Compact"/>
        <w:numPr>
          <w:ilvl w:val="0"/>
          <w:numId w:val="1003"/>
        </w:numPr>
      </w:pPr>
      <w:r>
        <w:t xml:space="preserve">Trainer klickt im Frontend auf den Punkttyp (z. B. „Forehand Winner”).</w:t>
      </w:r>
    </w:p>
    <w:p>
      <w:pPr>
        <w:pStyle w:val="Compact"/>
        <w:numPr>
          <w:ilvl w:val="0"/>
          <w:numId w:val="1003"/>
        </w:numPr>
      </w:pPr>
      <w:r>
        <w:t xml:space="preserve">Frontend sendet</w:t>
      </w:r>
      <w:r>
        <w:t xml:space="preserve"> </w:t>
      </w:r>
      <w:r>
        <w:rPr>
          <w:rStyle w:val="VerbatimChar"/>
        </w:rPr>
        <w:t xml:space="preserve">POST /api/matches/{id}/points</w:t>
      </w:r>
      <w:r>
        <w:t xml:space="preserve"> </w:t>
      </w:r>
      <w:r>
        <w:t xml:space="preserve">mit Bearer-Token.</w:t>
      </w:r>
    </w:p>
    <w:p>
      <w:pPr>
        <w:pStyle w:val="Compact"/>
        <w:numPr>
          <w:ilvl w:val="0"/>
          <w:numId w:val="1003"/>
        </w:numPr>
      </w:pPr>
      <w:r>
        <w:t xml:space="preserve">Das API validiert das Token (Keycloak).</w:t>
      </w:r>
    </w:p>
    <w:p>
      <w:pPr>
        <w:pStyle w:val="Compact"/>
        <w:numPr>
          <w:ilvl w:val="0"/>
          <w:numId w:val="1003"/>
        </w:numPr>
      </w:pPr>
      <w:r>
        <w:t xml:space="preserve">Das</w:t>
      </w:r>
      <w:r>
        <w:t xml:space="preserve"> </w:t>
      </w:r>
      <w:r>
        <w:rPr>
          <w:rStyle w:val="VerbatimChar"/>
        </w:rPr>
        <w:t xml:space="preserve">match-module</w:t>
      </w:r>
      <w:r>
        <w:t xml:space="preserve"> </w:t>
      </w:r>
      <w:r>
        <w:t xml:space="preserve">verarbeitet den Punkt: Spielstand (Punkte/Games/Sätze) aktualisieren, Persistenz in</w:t>
      </w:r>
      <w:r>
        <w:t xml:space="preserve"> </w:t>
      </w:r>
      <w:r>
        <w:rPr>
          <w:rStyle w:val="VerbatimChar"/>
        </w:rPr>
        <w:t xml:space="preserve">points</w:t>
      </w:r>
      <w:r>
        <w:t xml:space="preserve">.</w:t>
      </w:r>
    </w:p>
    <w:p>
      <w:pPr>
        <w:pStyle w:val="Compact"/>
        <w:numPr>
          <w:ilvl w:val="0"/>
          <w:numId w:val="1003"/>
        </w:numPr>
      </w:pPr>
      <w:r>
        <w:rPr>
          <w:rStyle w:val="VerbatimChar"/>
        </w:rPr>
        <w:t xml:space="preserve">match_scores</w:t>
      </w:r>
      <w:r>
        <w:t xml:space="preserve"> </w:t>
      </w:r>
      <w:r>
        <w:t xml:space="preserve">wird aktualisiert; aggregierte Statistiken berechnet das</w:t>
      </w:r>
      <w:r>
        <w:t xml:space="preserve"> </w:t>
      </w:r>
      <w:r>
        <w:rPr>
          <w:rStyle w:val="VerbatimChar"/>
        </w:rPr>
        <w:t xml:space="preserve">statistics-module</w:t>
      </w:r>
      <w:r>
        <w:t xml:space="preserve"> </w:t>
      </w:r>
      <w:r>
        <w:t xml:space="preserve">on-the-fly aus</w:t>
      </w:r>
      <w:r>
        <w:t xml:space="preserve"> </w:t>
      </w:r>
      <w:r>
        <w:rPr>
          <w:rStyle w:val="VerbatimChar"/>
        </w:rPr>
        <w:t xml:space="preserve">points</w:t>
      </w:r>
      <w:r>
        <w:t xml:space="preserve">.</w:t>
      </w:r>
    </w:p>
    <w:p>
      <w:pPr>
        <w:pStyle w:val="Compact"/>
        <w:numPr>
          <w:ilvl w:val="0"/>
          <w:numId w:val="1003"/>
        </w:numPr>
      </w:pPr>
      <w:r>
        <w:t xml:space="preserve">Antwort: aktualisierter Spielstand als JSON (HTTP 200).</w:t>
      </w:r>
    </w:p>
    <w:p>
      <w:pPr>
        <w:pStyle w:val="Compact"/>
        <w:numPr>
          <w:ilvl w:val="0"/>
          <w:numId w:val="1003"/>
        </w:numPr>
      </w:pPr>
      <w:r>
        <w:t xml:space="preserve">Frontend aktualisiert die Anzeige.</w:t>
      </w:r>
    </w:p>
    <w:bookmarkEnd w:id="48"/>
    <w:bookmarkStart w:id="53" w:name="X2fff043d07f14bccbec7d33989c0b93f7e0c4dd"/>
    <w:p>
      <w:pPr>
        <w:pStyle w:val="Heading3"/>
      </w:pPr>
      <w:r>
        <w:t xml:space="preserve">6.2 Szenario: KI-gestützte Match-Analyse (Postmortem)</w:t>
      </w:r>
    </w:p>
    <w:p>
      <w:pPr>
        <w:pStyle w:val="CaptionedFigure"/>
      </w:pPr>
      <w:r>
        <w:drawing>
          <wp:inline>
            <wp:extent cx="5334000" cy="3400164"/>
            <wp:effectExtent b="0" l="0" r="0" t="0"/>
            <wp:docPr descr="TSaS – KI-Match-Analyse generieren (Sequenz)" title="" id="50" name="Picture"/>
            <a:graphic>
              <a:graphicData uri="http://schemas.openxmlformats.org/drawingml/2006/picture">
                <pic:pic>
                  <pic:nvPicPr>
                    <pic:cNvPr descr="Seq_GenerateAnalysis.png" id="51" name="Picture"/>
                    <pic:cNvPicPr>
                      <a:picLocks noChangeArrowheads="1" noChangeAspect="1"/>
                    </pic:cNvPicPr>
                  </pic:nvPicPr>
                  <pic:blipFill>
                    <a:blip r:embed="rId49"/>
                    <a:stretch>
                      <a:fillRect/>
                    </a:stretch>
                  </pic:blipFill>
                  <pic:spPr bwMode="auto">
                    <a:xfrm>
                      <a:off x="0" y="0"/>
                      <a:ext cx="5334000" cy="3400164"/>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52">
        <w:r>
          <w:rPr>
            <w:rStyle w:val="VerbatimChar"/>
            <w:i/>
            <w:iCs/>
          </w:rPr>
          <w:t xml:space="preserve">diagrams/TSaS_Seq_GenerateAnalysis.puml</w:t>
        </w:r>
      </w:hyperlink>
      <w:r>
        <w:rPr>
          <w:i/>
          <w:iCs/>
        </w:rPr>
        <w:t xml:space="preserve">.</w:t>
      </w:r>
    </w:p>
    <w:p>
      <w:pPr>
        <w:pStyle w:val="Compact"/>
        <w:numPr>
          <w:ilvl w:val="0"/>
          <w:numId w:val="1004"/>
        </w:numPr>
      </w:pPr>
      <w:r>
        <w:t xml:space="preserve">Coach öffnet ein beendetes Match (</w:t>
      </w:r>
      <w:r>
        <w:rPr>
          <w:rStyle w:val="VerbatimChar"/>
        </w:rPr>
        <w:t xml:space="preserve">COMPLETED</w:t>
      </w:r>
      <w:r>
        <w:t xml:space="preserve">) und klickt „Taktische Analyse generieren”.</w:t>
      </w:r>
    </w:p>
    <w:p>
      <w:pPr>
        <w:pStyle w:val="Compact"/>
        <w:numPr>
          <w:ilvl w:val="0"/>
          <w:numId w:val="1004"/>
        </w:numPr>
      </w:pPr>
      <w:r>
        <w:t xml:space="preserve">Frontend sendet</w:t>
      </w:r>
      <w:r>
        <w:t xml:space="preserve"> </w:t>
      </w:r>
      <w:r>
        <w:rPr>
          <w:rStyle w:val="VerbatimChar"/>
        </w:rPr>
        <w:t xml:space="preserve">POST /api/matches/{id}/analysis</w:t>
      </w:r>
      <w:r>
        <w:t xml:space="preserve"> </w:t>
      </w:r>
      <w:r>
        <w:t xml:space="preserve">mit Bearer-Token.</w:t>
      </w:r>
    </w:p>
    <w:p>
      <w:pPr>
        <w:pStyle w:val="Compact"/>
        <w:numPr>
          <w:ilvl w:val="0"/>
          <w:numId w:val="1004"/>
        </w:numPr>
      </w:pPr>
      <w:r>
        <w:t xml:space="preserve">Der</w:t>
      </w:r>
      <w:r>
        <w:t xml:space="preserve"> </w:t>
      </w:r>
      <w:r>
        <w:rPr>
          <w:rStyle w:val="VerbatimChar"/>
        </w:rPr>
        <w:t xml:space="preserve">MatchAnalysisController</w:t>
      </w:r>
      <w:r>
        <w:t xml:space="preserve"> </w:t>
      </w:r>
      <w:r>
        <w:t xml:space="preserve">(</w:t>
      </w:r>
      <w:r>
        <w:rPr>
          <w:rStyle w:val="VerbatimChar"/>
        </w:rPr>
        <w:t xml:space="preserve">ai-module</w:t>
      </w:r>
      <w:r>
        <w:t xml:space="preserve">) ruft den</w:t>
      </w:r>
      <w:r>
        <w:t xml:space="preserve"> </w:t>
      </w:r>
      <w:r>
        <w:rPr>
          <w:rStyle w:val="VerbatimChar"/>
        </w:rPr>
        <w:t xml:space="preserve">GenerateMatchAnalysisUseCase</w:t>
      </w:r>
      <w:r>
        <w:t xml:space="preserve">.</w:t>
      </w:r>
    </w:p>
    <w:p>
      <w:pPr>
        <w:pStyle w:val="Compact"/>
        <w:numPr>
          <w:ilvl w:val="0"/>
          <w:numId w:val="1004"/>
        </w:numPr>
      </w:pPr>
      <w:r>
        <w:t xml:space="preserve">Vorbedingungen: Status = COMPLETED (sonst 409), Punktzahl ≥ 10 (sonst 422, Kostenschutz).</w:t>
      </w:r>
    </w:p>
    <w:p>
      <w:pPr>
        <w:pStyle w:val="Compact"/>
        <w:numPr>
          <w:ilvl w:val="0"/>
          <w:numId w:val="1004"/>
        </w:numPr>
      </w:pPr>
      <w:r>
        <w:t xml:space="preserve">Der Service lädt aggregierte Kennzahlen (</w:t>
      </w:r>
      <w:r>
        <w:rPr>
          <w:rStyle w:val="VerbatimChar"/>
        </w:rPr>
        <w:t xml:space="preserve">statistics-module</w:t>
      </w:r>
      <w:r>
        <w:t xml:space="preserve">), Spielermetadaten (</w:t>
      </w:r>
      <w:r>
        <w:rPr>
          <w:rStyle w:val="VerbatimChar"/>
        </w:rPr>
        <w:t xml:space="preserve">player-module</w:t>
      </w:r>
      <w:r>
        <w:t xml:space="preserve">) und die Coach-Notizen des Matches (</w:t>
      </w:r>
      <w:r>
        <w:rPr>
          <w:rStyle w:val="VerbatimChar"/>
        </w:rPr>
        <w:t xml:space="preserve">match-module</w:t>
      </w:r>
      <w:r>
        <w:t xml:space="preserve">,</w:t>
      </w:r>
      <w:r>
        <w:t xml:space="preserve"> </w:t>
      </w:r>
      <w:r>
        <w:rPr>
          <w:rStyle w:val="VerbatimChar"/>
        </w:rPr>
        <w:t xml:space="preserve">GetPlayerNotesUseCase</w:t>
      </w:r>
      <w:r>
        <w:t xml:space="preserve">) als Prompt-Kontext (FA-22).</w:t>
      </w:r>
    </w:p>
    <w:p>
      <w:pPr>
        <w:pStyle w:val="Compact"/>
        <w:numPr>
          <w:ilvl w:val="0"/>
          <w:numId w:val="1004"/>
        </w:numPr>
      </w:pPr>
      <w:r>
        <w:rPr>
          <w:rStyle w:val="VerbatimChar"/>
        </w:rPr>
        <w:t xml:space="preserve">LlmClientPort.generateAnalysis(...)</w:t>
      </w:r>
      <w:r>
        <w:t xml:space="preserve">: im Default-Profil</w:t>
      </w:r>
      <w:r>
        <w:t xml:space="preserve"> </w:t>
      </w:r>
      <w:r>
        <w:rPr>
          <w:rStyle w:val="VerbatimChar"/>
        </w:rPr>
        <w:t xml:space="preserve">OpenAiLlmAdapter</w:t>
      </w:r>
      <w:r>
        <w:t xml:space="preserve"> </w:t>
      </w:r>
      <w:r>
        <w:t xml:space="preserve">(Spring AI → OpenAI, strukturierter JSON-Output); ohne</w:t>
      </w:r>
      <w:r>
        <w:t xml:space="preserve"> </w:t>
      </w:r>
      <w:r>
        <w:rPr>
          <w:rStyle w:val="VerbatimChar"/>
        </w:rPr>
        <w:t xml:space="preserve">OPENAI_API_KEY</w:t>
      </w:r>
      <w:r>
        <w:t xml:space="preserve"> </w:t>
      </w:r>
      <w:r>
        <w:t xml:space="preserve">übernimmt der deterministische</w:t>
      </w:r>
      <w:r>
        <w:t xml:space="preserve"> </w:t>
      </w:r>
      <w:r>
        <w:rPr>
          <w:rStyle w:val="VerbatimChar"/>
        </w:rPr>
        <w:t xml:space="preserve">FakeLlmClientAdapter</w:t>
      </w:r>
      <w:r>
        <w:t xml:space="preserve">.</w:t>
      </w:r>
    </w:p>
    <w:p>
      <w:pPr>
        <w:pStyle w:val="Compact"/>
        <w:numPr>
          <w:ilvl w:val="0"/>
          <w:numId w:val="1004"/>
        </w:numPr>
      </w:pPr>
      <w:r>
        <w:t xml:space="preserve">Die strukturierte Antwort (Schlüsselmomente, Stärken/Schwächen, 3–5 Empfehlungen) wird als</w:t>
      </w:r>
      <w:r>
        <w:t xml:space="preserve"> </w:t>
      </w:r>
      <w:r>
        <w:rPr>
          <w:rStyle w:val="VerbatimChar"/>
        </w:rPr>
        <w:t xml:space="preserve">MatchAnalysis</w:t>
      </w:r>
      <w:r>
        <w:t xml:space="preserve"> </w:t>
      </w:r>
      <w:r>
        <w:t xml:space="preserve">(Status COMPLETED) in</w:t>
      </w:r>
      <w:r>
        <w:t xml:space="preserve"> </w:t>
      </w:r>
      <w:r>
        <w:rPr>
          <w:rStyle w:val="VerbatimChar"/>
        </w:rPr>
        <w:t xml:space="preserve">match_analysis</w:t>
      </w:r>
      <w:r>
        <w:t xml:space="preserve"> </w:t>
      </w:r>
      <w:r>
        <w:t xml:space="preserve">persistiert (1:1 zum Match, überschreibbar).</w:t>
      </w:r>
    </w:p>
    <w:p>
      <w:pPr>
        <w:pStyle w:val="Compact"/>
        <w:numPr>
          <w:ilvl w:val="0"/>
          <w:numId w:val="1004"/>
        </w:numPr>
      </w:pPr>
      <w:r>
        <w:t xml:space="preserve">API antwortet HTTP 200 mit der Analyse.</w:t>
      </w:r>
    </w:p>
    <w:p>
      <w:pPr>
        <w:pStyle w:val="Compact"/>
        <w:numPr>
          <w:ilvl w:val="0"/>
          <w:numId w:val="1004"/>
        </w:numPr>
      </w:pPr>
      <w:r>
        <w:t xml:space="preserve">Bei LLM-Fehlern wird ein</w:t>
      </w:r>
      <w:r>
        <w:t xml:space="preserve"> </w:t>
      </w:r>
      <w:r>
        <w:rPr>
          <w:rStyle w:val="VerbatimChar"/>
        </w:rPr>
        <w:t xml:space="preserve">FAILED</w:t>
      </w:r>
      <w:r>
        <w:t xml:space="preserve">-Datensatz (mit</w:t>
      </w:r>
      <w:r>
        <w:t xml:space="preserve"> </w:t>
      </w:r>
      <w:r>
        <w:rPr>
          <w:rStyle w:val="VerbatimChar"/>
        </w:rPr>
        <w:t xml:space="preserve">errorMessage</w:t>
      </w:r>
      <w:r>
        <w:t xml:space="preserve">) persistiert, API → HTTP 502; „Erneut versuchen” überschreibt ihn beim nächsten Erfolg.</w:t>
      </w:r>
    </w:p>
    <w:p>
      <w:pPr>
        <w:pStyle w:val="Compact"/>
        <w:numPr>
          <w:ilvl w:val="0"/>
          <w:numId w:val="1004"/>
        </w:numPr>
      </w:pPr>
      <w:r>
        <w:rPr>
          <w:rStyle w:val="VerbatimChar"/>
        </w:rPr>
        <w:t xml:space="preserve">GET /api/matches/{id}/analysis</w:t>
      </w:r>
      <w:r>
        <w:t xml:space="preserve"> </w:t>
      </w:r>
      <w:r>
        <w:t xml:space="preserve">liefert die gespeicherte Analyse ohne erneuten LLM-Aufruf (200) bzw. 404, falls noch keine existiert.</w:t>
      </w:r>
    </w:p>
    <w:bookmarkEnd w:id="53"/>
    <w:bookmarkStart w:id="58" w:name="szenario-benutzer-authentifizierung"/>
    <w:p>
      <w:pPr>
        <w:pStyle w:val="Heading3"/>
      </w:pPr>
      <w:r>
        <w:t xml:space="preserve">6.3 Szenario: Benutzer-Authentifizierung</w:t>
      </w:r>
    </w:p>
    <w:p>
      <w:pPr>
        <w:pStyle w:val="CaptionedFigure"/>
      </w:pPr>
      <w:r>
        <w:drawing>
          <wp:inline>
            <wp:extent cx="5334000" cy="4464298"/>
            <wp:effectExtent b="0" l="0" r="0" t="0"/>
            <wp:docPr descr="TSaS – Benutzer-Authentifizierung (Sequenz)" title="" id="55" name="Picture"/>
            <a:graphic>
              <a:graphicData uri="http://schemas.openxmlformats.org/drawingml/2006/picture">
                <pic:pic>
                  <pic:nvPicPr>
                    <pic:cNvPr descr="Seq_Authentication.png" id="56" name="Picture"/>
                    <pic:cNvPicPr>
                      <a:picLocks noChangeArrowheads="1" noChangeAspect="1"/>
                    </pic:cNvPicPr>
                  </pic:nvPicPr>
                  <pic:blipFill>
                    <a:blip r:embed="rId54"/>
                    <a:stretch>
                      <a:fillRect/>
                    </a:stretch>
                  </pic:blipFill>
                  <pic:spPr bwMode="auto">
                    <a:xfrm>
                      <a:off x="0" y="0"/>
                      <a:ext cx="5334000" cy="4464298"/>
                    </a:xfrm>
                    <a:prstGeom prst="rect">
                      <a:avLst/>
                    </a:prstGeom>
                    <a:noFill/>
                    <a:ln w="9525">
                      <a:noFill/>
                      <a:headEnd/>
                      <a:tailEnd/>
                    </a:ln>
                  </pic:spPr>
                </pic:pic>
              </a:graphicData>
            </a:graphic>
          </wp:inline>
        </w:drawing>
      </w:r>
    </w:p>
    <w:p>
      <w:pPr>
        <w:pStyle w:val="ImageCaption"/>
      </w:pPr>
      <w:r>
        <w:t xml:space="preserve">TSaS – Benutzer-Authentifizierung (Sequenz)</w:t>
      </w:r>
    </w:p>
    <w:p>
      <w:pPr>
        <w:pStyle w:val="BodyText"/>
      </w:pPr>
      <w:r>
        <w:rPr>
          <w:i/>
          <w:iCs/>
        </w:rPr>
        <w:t xml:space="preserve">Quelle:</w:t>
      </w:r>
      <w:r>
        <w:rPr>
          <w:i/>
          <w:iCs/>
        </w:rPr>
        <w:t xml:space="preserve"> </w:t>
      </w:r>
      <w:hyperlink r:id="rId57">
        <w:r>
          <w:rPr>
            <w:rStyle w:val="VerbatimChar"/>
            <w:i/>
            <w:iCs/>
          </w:rPr>
          <w:t xml:space="preserve">diagrams/TSaS_Seq_Authentication.puml</w:t>
        </w:r>
      </w:hyperlink>
      <w:r>
        <w:rPr>
          <w:i/>
          <w:iCs/>
        </w:rPr>
        <w:t xml:space="preserve">.</w:t>
      </w:r>
    </w:p>
    <w:p>
      <w:r>
        <w:pict>
          <v:rect style="width:0;height:1.5pt" o:hralign="center" o:hrstd="t" o:hr="t"/>
        </w:pict>
      </w:r>
    </w:p>
    <w:bookmarkEnd w:id="58"/>
    <w:bookmarkEnd w:id="59"/>
    <w:bookmarkStart w:id="69" w:name="verteilungssicht"/>
    <w:p>
      <w:pPr>
        <w:pStyle w:val="Heading2"/>
      </w:pPr>
      <w:r>
        <w:t xml:space="preserve">7. Verteilungssicht</w:t>
      </w:r>
    </w:p>
    <w:bookmarkStart w:id="64" w:name="infrastruktur"/>
    <w:p>
      <w:pPr>
        <w:pStyle w:val="Heading3"/>
      </w:pPr>
      <w:r>
        <w:t xml:space="preserve">7.1 Infrastruktur</w:t>
      </w:r>
    </w:p>
    <w:p>
      <w:pPr>
        <w:pStyle w:val="FirstParagraph"/>
      </w:pPr>
      <w:r>
        <w:t xml:space="preserve">Deployment via Docker Compose.</w:t>
      </w:r>
    </w:p>
    <w:p>
      <w:pPr>
        <w:pStyle w:val="CaptionedFigure"/>
      </w:pPr>
      <w:r>
        <w:drawing>
          <wp:inline>
            <wp:extent cx="5334000" cy="4663376"/>
            <wp:effectExtent b="0" l="0" r="0" t="0"/>
            <wp:docPr descr="TSaS – Verteilungssicht (Docker Compose)" title="" id="61" name="Picture"/>
            <a:graphic>
              <a:graphicData uri="http://schemas.openxmlformats.org/drawingml/2006/picture">
                <pic:pic>
                  <pic:nvPicPr>
                    <pic:cNvPr descr="Deployment.png" id="62" name="Picture"/>
                    <pic:cNvPicPr>
                      <a:picLocks noChangeArrowheads="1" noChangeAspect="1"/>
                    </pic:cNvPicPr>
                  </pic:nvPicPr>
                  <pic:blipFill>
                    <a:blip r:embed="rId60"/>
                    <a:stretch>
                      <a:fillRect/>
                    </a:stretch>
                  </pic:blipFill>
                  <pic:spPr bwMode="auto">
                    <a:xfrm>
                      <a:off x="0" y="0"/>
                      <a:ext cx="5334000" cy="4663376"/>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63">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w:t>
            </w:r>
          </w:p>
        </w:tc>
        <w:tc>
          <w:tcPr/>
          <w:p>
            <w:pPr>
              <w:pStyle w:val="Compact"/>
            </w:pPr>
            <w:r>
              <w:t xml:space="preserve">Host 80 → Container 8080</w:t>
            </w:r>
          </w:p>
        </w:tc>
        <w:tc>
          <w:tcPr/>
          <w:p>
            <w:pPr>
              <w:pStyle w:val="Compact"/>
            </w:pPr>
            <w:r>
              <w:t xml:space="preserve">Läuft als UID 101, liefert die SPA, proxied</w:t>
            </w:r>
            <w:r>
              <w:t xml:space="preserve"> </w:t>
            </w:r>
            <w:r>
              <w:rPr>
                <w:rStyle w:val="VerbatimChar"/>
              </w:rPr>
              <w:t xml:space="preserve">/api/</w:t>
            </w:r>
            <w:r>
              <w:t xml:space="preserve"> </w:t>
            </w:r>
            <w:r>
              <w:t xml:space="preserve">ans Backend.</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UID 10001; im Prod-Setup nur intern erreichbar.</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JWKS)</w:t>
            </w:r>
          </w:p>
        </w:tc>
        <w:tc>
          <w:tcPr/>
          <w:p>
            <w:pPr>
              <w:pStyle w:val="Compact"/>
            </w:pPr>
            <w:r>
              <w:t xml:space="preserve">Realm</w:t>
            </w:r>
            <w:r>
              <w:t xml:space="preserve"> </w:t>
            </w:r>
            <w:r>
              <w:rPr>
                <w:rStyle w:val="VerbatimChar"/>
              </w:rPr>
              <w:t xml:space="preserve">tsas</w:t>
            </w:r>
            <w:r>
              <w:t xml:space="preserve"> </w:t>
            </w:r>
            <w:r>
              <w:t xml:space="preserve">wird beim Start importiert.</w:t>
            </w:r>
          </w:p>
        </w:tc>
      </w:tr>
    </w:tbl>
    <w:bookmarkEnd w:id="64"/>
    <w:bookmarkStart w:id="65" w:name="container-hardening-stride-e5"/>
    <w:p>
      <w:pPr>
        <w:pStyle w:val="Heading3"/>
      </w:pPr>
      <w:r>
        <w:t xml:space="preserve">7.1.1 Container-Hardening (STRIDE E5)</w:t>
      </w:r>
    </w:p>
    <w:p>
      <w:pPr>
        <w:pStyle w:val="FirstParagraph"/>
      </w:pPr>
      <w:r>
        <w:t xml:space="preserve">Alle Services in</w:t>
      </w:r>
      <w:r>
        <w:t xml:space="preserve"> </w:t>
      </w:r>
      <w:r>
        <w:rPr>
          <w:rStyle w:val="VerbatimChar"/>
        </w:rPr>
        <w:t xml:space="preserve">docker/compose.yml</w:t>
      </w:r>
      <w:r>
        <w:t xml:space="preserve"> </w:t>
      </w:r>
      <w:r>
        <w:t xml:space="preserve">laufen mit Sicherheits-Defaults (adressiert STRIDE T4/D5):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User</w:t>
            </w:r>
          </w:p>
        </w:tc>
        <w:tc>
          <w:tcPr/>
          <w:p>
            <w:pPr>
              <w:pStyle w:val="Compact"/>
            </w:pPr>
            <w:r>
              <w:rPr>
                <w:rStyle w:val="VerbatimChar"/>
              </w:rPr>
              <w:t xml:space="preserve">backend</w:t>
            </w:r>
            <w:r>
              <w:t xml:space="preserve"> </w:t>
            </w:r>
            <w:r>
              <w:t xml:space="preserve">UID 10001,</w:t>
            </w:r>
            <w:r>
              <w:t xml:space="preserve"> </w:t>
            </w:r>
            <w:r>
              <w:rPr>
                <w:rStyle w:val="VerbatimChar"/>
              </w:rPr>
              <w:t xml:space="preserve">frontend</w:t>
            </w:r>
            <w:r>
              <w:t xml:space="preserve"> </w:t>
            </w:r>
            <w:r>
              <w:t xml:space="preserve">via</w:t>
            </w:r>
            <w:r>
              <w:t xml:space="preserve"> </w:t>
            </w:r>
            <w:r>
              <w:rPr>
                <w:rStyle w:val="VerbatimChar"/>
              </w:rPr>
              <w:t xml:space="preserve">nginx-unprivileged</w:t>
            </w:r>
            <w:r>
              <w:t xml:space="preserve"> </w:t>
            </w:r>
            <w:r>
              <w:t xml:space="preserve">UID 101.</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Root-FS nicht beschreibbar; nur deklarierte Pfade (</w:t>
            </w:r>
            <w:r>
              <w:rPr>
                <w:rStyle w:val="VerbatimChar"/>
              </w:rPr>
              <w:t xml:space="preserve">/tmp</w:t>
            </w:r>
            <w:r>
              <w:t xml:space="preserve">, nginx-Caches, postgres) schreibbar. Keycloak ausgenommen (Dev</w:t>
            </w:r>
            <w:r>
              <w:t xml:space="preserve"> </w:t>
            </w:r>
            <w:r>
              <w:rPr>
                <w:rStyle w:val="VerbatimChar"/>
              </w:rPr>
              <w:t xml:space="preserve">start-dev</w:t>
            </w:r>
            <w:r>
              <w:t xml:space="preserve">) und persistiert — wie in Prod — in einer dedizierten</w:t>
            </w:r>
            <w:r>
              <w:t xml:space="preserve"> </w:t>
            </w:r>
            <w:r>
              <w:rPr>
                <w:rStyle w:val="VerbatimChar"/>
              </w:rPr>
              <w:t xml:space="preserve">keycloak</w:t>
            </w:r>
            <w:r>
              <w:t xml:space="preserve">-Postgres-DB auf derselben Instanz (</w:t>
            </w:r>
            <w:r>
              <w:rPr>
                <w:rStyle w:val="VerbatimChar"/>
              </w:rPr>
              <w:t xml:space="preserve">--db=postgres</w:t>
            </w:r>
            <w:r>
              <w:t xml:space="preserve">; angelegt via</w:t>
            </w:r>
            <w:r>
              <w:t xml:space="preserve"> </w:t>
            </w:r>
            <w:r>
              <w:rPr>
                <w:rStyle w:val="VerbatimChar"/>
              </w:rPr>
              <w:t xml:space="preserve">docker/db/init/01-create-keycloak-db.sh</w:t>
            </w:r>
            <w:r>
              <w:t xml:space="preserve">).</w:t>
            </w:r>
          </w:p>
        </w:tc>
      </w:tr>
      <w:tr>
        <w:tc>
          <w:tcPr/>
          <w:p>
            <w:pPr>
              <w:pStyle w:val="Compact"/>
            </w:pPr>
            <w:r>
              <w:rPr>
                <w:rStyle w:val="VerbatimChar"/>
              </w:rPr>
              <w:t xml:space="preserve">cap_drop: [ALL]</w:t>
            </w:r>
          </w:p>
        </w:tc>
        <w:tc>
          <w:tcPr/>
          <w:p>
            <w:pPr>
              <w:pStyle w:val="Compact"/>
            </w:pPr>
            <w:r>
              <w:t xml:space="preserve">Alle 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p>
        </w:tc>
      </w:tr>
      <w:tr>
        <w:tc>
          <w:tcPr/>
          <w:p>
            <w:pPr>
              <w:pStyle w:val="Compact"/>
            </w:pPr>
            <w:r>
              <w:rPr>
                <w:rStyle w:val="VerbatimChar"/>
              </w:rPr>
              <w:t xml:space="preserve">security_opt: [no-new-privileges:true]</w:t>
            </w:r>
          </w:p>
        </w:tc>
        <w:tc>
          <w:tcPr/>
          <w:p>
            <w:pPr>
              <w:pStyle w:val="Compact"/>
            </w:pPr>
            <w:r>
              <w:t xml:space="preserve">Keine Rechte-Eskalation über</w:t>
            </w:r>
            <w:r>
              <w:t xml:space="preserve"> </w:t>
            </w:r>
            <w:r>
              <w:rPr>
                <w:rStyle w:val="VerbatimChar"/>
              </w:rPr>
              <w:t xml:space="preserve">setuid</w:t>
            </w:r>
            <w:r>
              <w:t xml:space="preserve">.</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je Service (gegen Container-übergreifende DoS).</w:t>
            </w:r>
          </w:p>
        </w:tc>
      </w:tr>
      <w:tr>
        <w:tc>
          <w:tcPr/>
          <w:p>
            <w:pPr>
              <w:pStyle w:val="Compact"/>
            </w:pPr>
            <w:r>
              <w:rPr>
                <w:rStyle w:val="VerbatimChar"/>
              </w:rPr>
              <w:t xml:space="preserve">HEALTHCHECK</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w:t>
            </w:r>
            <w:r>
              <w:t xml:space="preserve"> </w:t>
            </w:r>
            <w:r>
              <w:rPr>
                <w:rStyle w:val="VerbatimChar"/>
              </w:rPr>
              <w:t xml:space="preserve">frontend</w:t>
            </w:r>
            <w:r>
              <w:t xml:space="preserve"> </w:t>
            </w:r>
            <w:r>
              <w:t xml:space="preserve">den Root-Path.</w:t>
            </w:r>
          </w:p>
        </w:tc>
      </w:tr>
    </w:tbl>
    <w:p>
      <w:pPr>
        <w:pStyle w:val="BodyText"/>
      </w:pPr>
      <w:r>
        <w:t xml:space="preserve">Die Frontend-Portumlegung (Host 80 → Container 8080) folgt aus dem Wechsel auf</w:t>
      </w:r>
      <w:r>
        <w:t xml:space="preserve"> </w:t>
      </w:r>
      <w:r>
        <w:rPr>
          <w:rStyle w:val="VerbatimChar"/>
        </w:rPr>
        <w:t xml:space="preserve">nginx-unprivileged</w:t>
      </w:r>
      <w:r>
        <w:t xml:space="preserve"> </w:t>
      </w:r>
      <w:r>
        <w:t xml:space="preserve">(kein Privileged Bind &lt; 1024).</w:t>
      </w:r>
    </w:p>
    <w:bookmarkEnd w:id="65"/>
    <w:bookmarkStart w:id="66" w:name="security-header-im-nginx-stride-t1"/>
    <w:p>
      <w:pPr>
        <w:pStyle w:val="Heading3"/>
      </w:pPr>
      <w:r>
        <w:t xml:space="preserve">7.1.2 Security-Header im nginx (STRIDE T1)</w:t>
      </w:r>
    </w:p>
    <w:p>
      <w:pPr>
        <w:pStyle w:val="FirstParagraph"/>
      </w:pPr>
      <w:r>
        <w:t xml:space="preserve">Der nginx setzt auf jeder Antwort (Server-Scope,</w:t>
      </w:r>
      <w:r>
        <w:t xml:space="preserve"> </w:t>
      </w:r>
      <w:r>
        <w:rPr>
          <w:rStyle w:val="VerbatimChar"/>
        </w:rPr>
        <w:t xml:space="preserve">always</w:t>
      </w:r>
      <w:r>
        <w:t xml:space="preserve">) folgende Header: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Wert (Kurz)</w:t>
            </w:r>
          </w:p>
        </w:tc>
        <w:tc>
          <w:tcPr/>
          <w:p>
            <w:pPr>
              <w:pStyle w:val="Compact"/>
            </w:pPr>
            <w:r>
              <w:t xml:space="preserve">Wirkung</w:t>
            </w:r>
          </w:p>
        </w:tc>
      </w:tr>
      <w:tr>
        <w:tc>
          <w:tcPr/>
          <w:p>
            <w:pPr>
              <w:pStyle w:val="Compact"/>
            </w:pPr>
            <w:r>
              <w:rPr>
                <w:rStyle w:val="VerbatimChar"/>
              </w:rPr>
              <w:t xml:space="preserve">Strict-Transport-Security</w:t>
            </w:r>
          </w:p>
        </w:tc>
        <w:tc>
          <w:tcPr/>
          <w:p>
            <w:pPr>
              <w:pStyle w:val="Compact"/>
            </w:pPr>
            <w:r>
              <w:rPr>
                <w:rStyle w:val="VerbatimChar"/>
              </w:rPr>
              <w:t xml:space="preserve">max-age=31536000; includeSubDomains; preload</w:t>
            </w:r>
          </w:p>
        </w:tc>
        <w:tc>
          <w:tcPr/>
          <w:p>
            <w:pPr>
              <w:pStyle w:val="Compact"/>
            </w:pPr>
            <w:r>
              <w:t xml:space="preserve">Erzwingt HTTPS (greift hinter TLS-Terminator).</w:t>
            </w:r>
          </w:p>
        </w:tc>
      </w:tr>
      <w:tr>
        <w:tc>
          <w:tcPr/>
          <w:p>
            <w:pPr>
              <w:pStyle w:val="Compact"/>
            </w:pPr>
            <w:r>
              <w:rPr>
                <w:rStyle w:val="VerbatimChar"/>
              </w:rPr>
              <w:t xml:space="preserve">Content-Security-Policy</w:t>
            </w:r>
          </w:p>
        </w:tc>
        <w:tc>
          <w:tcPr/>
          <w:p>
            <w:pPr>
              <w:pStyle w:val="Compact"/>
            </w:pPr>
            <w:r>
              <w:rPr>
                <w:rStyle w:val="VerbatimChar"/>
              </w:rPr>
              <w:t xml:space="preserve">default-src 'self'</w:t>
            </w:r>
            <w:r>
              <w:t xml:space="preserve">,</w:t>
            </w:r>
            <w:r>
              <w:t xml:space="preserve"> </w:t>
            </w:r>
            <w:r>
              <w:rPr>
                <w:rStyle w:val="VerbatimChar"/>
              </w:rPr>
              <w:t xml:space="preserve">script-src 'self'</w:t>
            </w:r>
            <w:r>
              <w:t xml:space="preserve">, Keycloak-Realm in</w:t>
            </w:r>
            <w:r>
              <w:t xml:space="preserve"> </w:t>
            </w:r>
            <w:r>
              <w:rPr>
                <w:rStyle w:val="VerbatimChar"/>
              </w:rPr>
              <w:t xml:space="preserve">connect-src</w:t>
            </w:r>
            <w:r>
              <w:t xml:space="preserve">/</w:t>
            </w:r>
            <w:r>
              <w:rPr>
                <w:rStyle w:val="VerbatimChar"/>
              </w:rPr>
              <w:t xml:space="preserve">form-action</w:t>
            </w:r>
            <w:r>
              <w:t xml:space="preserve">,</w:t>
            </w:r>
            <w:r>
              <w:t xml:space="preserve"> </w:t>
            </w:r>
            <w:r>
              <w:rPr>
                <w:rStyle w:val="VerbatimChar"/>
              </w:rPr>
              <w:t xml:space="preserve">frame-ancestors 'none'</w:t>
            </w:r>
            <w:r>
              <w:t xml:space="preserve">,</w:t>
            </w:r>
            <w:r>
              <w:t xml:space="preserve"> </w:t>
            </w:r>
            <w:r>
              <w:rPr>
                <w:rStyle w:val="VerbatimChar"/>
              </w:rPr>
              <w:t xml:space="preserve">object-src 'none'</w:t>
            </w:r>
          </w:p>
        </w:tc>
        <w:tc>
          <w:tcPr/>
          <w:p>
            <w:pPr>
              <w:pStyle w:val="Compact"/>
            </w:pPr>
            <w:r>
              <w:t xml:space="preserve">XSS-/Clickjacking-Mitigation.</w:t>
            </w:r>
            <w:r>
              <w:t xml:space="preserve"> </w:t>
            </w:r>
            <w:r>
              <w:rPr>
                <w:rStyle w:val="VerbatimChar"/>
              </w:rPr>
              <w:t xml:space="preserve">'unsafe-inline'</w:t>
            </w:r>
            <w:r>
              <w:t xml:space="preserve"> </w:t>
            </w:r>
            <w:r>
              <w:t xml:space="preserve">bei</w:t>
            </w:r>
            <w:r>
              <w:t xml:space="preserve"> </w:t>
            </w:r>
            <w:r>
              <w:rPr>
                <w:rStyle w:val="VerbatimChar"/>
              </w:rPr>
              <w:t xml:space="preserve">style-src</w:t>
            </w:r>
            <w:r>
              <w:t xml:space="preserve"> </w:t>
            </w:r>
            <w:r>
              <w:t xml:space="preserve">nötig für Angular Materials Runtime-Styles.</w:t>
            </w:r>
          </w:p>
        </w:tc>
      </w:tr>
      <w:tr>
        <w:tc>
          <w:tcPr/>
          <w:p>
            <w:pPr>
              <w:pStyle w:val="Compact"/>
            </w:pPr>
            <w:r>
              <w:rPr>
                <w:rStyle w:val="VerbatimChar"/>
              </w:rPr>
              <w:t xml:space="preserve">X-Content-Type-Options</w:t>
            </w:r>
          </w:p>
        </w:tc>
        <w:tc>
          <w:tcPr/>
          <w:p>
            <w:pPr>
              <w:pStyle w:val="Compact"/>
            </w:pPr>
            <w:r>
              <w:rPr>
                <w:rStyle w:val="VerbatimChar"/>
              </w:rPr>
              <w:t xml:space="preserve">nosniff</w:t>
            </w:r>
          </w:p>
        </w:tc>
        <w:tc>
          <w:tcPr/>
          <w:p>
            <w:pPr>
              <w:pStyle w:val="Compact"/>
            </w:pPr>
            <w:r>
              <w:t xml:space="preserve">Kein MIME-Sniffing.</w:t>
            </w:r>
          </w:p>
        </w:tc>
      </w:tr>
      <w:tr>
        <w:tc>
          <w:tcPr/>
          <w:p>
            <w:pPr>
              <w:pStyle w:val="Compact"/>
            </w:pPr>
            <w:r>
              <w:rPr>
                <w:rStyle w:val="VerbatimChar"/>
              </w:rPr>
              <w:t xml:space="preserve">Referrer-Policy</w:t>
            </w:r>
          </w:p>
        </w:tc>
        <w:tc>
          <w:tcPr/>
          <w:p>
            <w:pPr>
              <w:pStyle w:val="Compact"/>
            </w:pPr>
            <w:r>
              <w:rPr>
                <w:rStyle w:val="VerbatimChar"/>
              </w:rPr>
              <w:t xml:space="preserve">strict-origin-when-cross-origin</w:t>
            </w:r>
          </w:p>
        </w:tc>
        <w:tc>
          <w:tcPr/>
          <w:p>
            <w:pPr>
              <w:pStyle w:val="Compact"/>
            </w:pPr>
            <w:r>
              <w:t xml:space="preserve">Kein Referrer-Leak.</w:t>
            </w:r>
          </w:p>
        </w:tc>
      </w:tr>
      <w:tr>
        <w:tc>
          <w:tcPr/>
          <w:p>
            <w:pPr>
              <w:pStyle w:val="Compact"/>
            </w:pPr>
            <w:r>
              <w:rPr>
                <w:rStyle w:val="VerbatimChar"/>
              </w:rPr>
              <w:t xml:space="preserve">Permissions-Policy</w:t>
            </w:r>
          </w:p>
        </w:tc>
        <w:tc>
          <w:tcPr/>
          <w:p>
            <w:pPr>
              <w:pStyle w:val="Compact"/>
            </w:pPr>
            <w:r>
              <w:rPr>
                <w:rStyle w:val="VerbatimChar"/>
              </w:rPr>
              <w:t xml:space="preserve">camera=(), microphone=(), geolocation=(), …</w:t>
            </w:r>
          </w:p>
        </w:tc>
        <w:tc>
          <w:tcPr/>
          <w:p>
            <w:pPr>
              <w:pStyle w:val="Compact"/>
            </w:pPr>
            <w:r>
              <w:t xml:space="preserve">Sperrt ungenutzte Browser-APIs.</w:t>
            </w:r>
          </w:p>
        </w:tc>
      </w:tr>
    </w:tbl>
    <w:bookmarkEnd w:id="66"/>
    <w:bookmarkStart w:id="67" w:name="X1076f8be5823071e546bff38fe6ac4bcfb743c9"/>
    <w:p>
      <w:pPr>
        <w:pStyle w:val="Heading3"/>
      </w:pPr>
      <w:r>
        <w:t xml:space="preserve">7.1.3 Rate-Limits + E-Mail-Verifizierung (STRIDE D1+D2+S2)</w:t>
      </w:r>
    </w:p>
    <w:p>
      <w:pPr>
        <w:pStyle w:val="FirstParagraph"/>
      </w:pPr>
      <w:r>
        <w:t xml:space="preserve">Der kostenpflichtige KI-Endpoint kombiniert mit offener Self-Registration ergibt ein finanzielles DoS-Risiko. Drei Schutzschichten:</w:t>
      </w:r>
    </w:p>
    <w:p>
      <w:pPr>
        <w:pStyle w:val="Compact"/>
        <w:numPr>
          <w:ilvl w:val="0"/>
          <w:numId w:val="1005"/>
        </w:numPr>
      </w:pPr>
      <w:r>
        <w:rPr>
          <w:b/>
          <w:bCs/>
        </w:rPr>
        <w:t xml:space="preserve">Per-User-Token-Bucket</w:t>
      </w:r>
      <w:r>
        <w:t xml:space="preserve"> </w:t>
      </w:r>
      <w:r>
        <w:t xml:space="preserve">(</w:t>
      </w:r>
      <w:r>
        <w:rPr>
          <w:rStyle w:val="VerbatimChar"/>
        </w:rPr>
        <w:t xml:space="preserve">AnalysisRateLimiter</w:t>
      </w:r>
      <w:r>
        <w:t xml:space="preserve">, Bucket4j): 5 Aufrufe/Tag</w:t>
      </w:r>
      <w:r>
        <w:t xml:space="preserve"> </w:t>
      </w:r>
      <w:r>
        <w:rPr>
          <w:b/>
          <w:bCs/>
        </w:rPr>
        <w:t xml:space="preserve">und</w:t>
      </w:r>
      <w:r>
        <w:t xml:space="preserve"> </w:t>
      </w:r>
      <w:r>
        <w:t xml:space="preserve">1/Minute pro Nutzer. Bei Ablehnung HTTP</w:t>
      </w:r>
      <w:r>
        <w:t xml:space="preserve"> </w:t>
      </w:r>
      <w:r>
        <w:rPr>
          <w:b/>
          <w:bCs/>
        </w:rPr>
        <w:t xml:space="preserve">429</w:t>
      </w:r>
      <w:r>
        <w:t xml:space="preserve"> </w:t>
      </w:r>
      <w:r>
        <w:t xml:space="preserve">mit</w:t>
      </w:r>
      <w:r>
        <w:t xml:space="preserve"> </w:t>
      </w:r>
      <w:r>
        <w:rPr>
          <w:rStyle w:val="VerbatimChar"/>
        </w:rPr>
        <w:t xml:space="preserve">Retry-After</w:t>
      </w:r>
      <w:r>
        <w:t xml:space="preserve"> </w:t>
      </w:r>
      <w:r>
        <w:t xml:space="preserve">(RFC-7807). Micrometer-Counter</w:t>
      </w:r>
      <w:r>
        <w:t xml:space="preserve"> </w:t>
      </w:r>
      <w:r>
        <w:rPr>
          <w:rStyle w:val="VerbatimChar"/>
        </w:rPr>
        <w:t xml:space="preserve">tsas.ai.calls.total{outcome,user}</w:t>
      </w:r>
      <w:r>
        <w:t xml:space="preserve">.</w:t>
      </w:r>
    </w:p>
    <w:p>
      <w:pPr>
        <w:pStyle w:val="Compact"/>
        <w:numPr>
          <w:ilvl w:val="0"/>
          <w:numId w:val="1005"/>
        </w:numPr>
      </w:pPr>
      <w:r>
        <w:rPr>
          <w:b/>
          <w:bCs/>
        </w:rPr>
        <w:t xml:space="preserve">Per-IP-Limit im nginx</w:t>
      </w:r>
      <w:r>
        <w:t xml:space="preserve"> </w:t>
      </w:r>
      <w:r>
        <w:t xml:space="preserve">(</w:t>
      </w:r>
      <w:r>
        <w:rPr>
          <w:rStyle w:val="VerbatimChar"/>
        </w:rPr>
        <w:t xml:space="preserve">limit_req_zone</w:t>
      </w:r>
      <w:r>
        <w:t xml:space="preserve">,</w:t>
      </w:r>
      <w:r>
        <w:t xml:space="preserve"> </w:t>
      </w:r>
      <w:r>
        <w:rPr>
          <w:rStyle w:val="VerbatimChar"/>
        </w:rPr>
        <w:t xml:space="preserve">5r/m, burst=5, nodelay</w:t>
      </w:r>
      <w:r>
        <w:t xml:space="preserve">) auf der Analysis-Location; überzählige Requests → HTTP</w:t>
      </w:r>
      <w:r>
        <w:t xml:space="preserve"> </w:t>
      </w:r>
      <w:r>
        <w:rPr>
          <w:b/>
          <w:bCs/>
        </w:rPr>
        <w:t xml:space="preserve">429</w:t>
      </w:r>
      <w:r>
        <w:t xml:space="preserve"> </w:t>
      </w:r>
      <w:r>
        <w:t xml:space="preserve">ohne Backend-Treffer.</w:t>
      </w:r>
    </w:p>
    <w:p>
      <w:pPr>
        <w:pStyle w:val="Compact"/>
        <w:numPr>
          <w:ilvl w:val="0"/>
          <w:numId w:val="1005"/>
        </w:numPr>
      </w:pPr>
      <w:r>
        <w:rPr>
          <w:b/>
          <w:bCs/>
        </w:rPr>
        <w:t xml:space="preserve">E-Mail-Verifizierung</w:t>
      </w:r>
      <w:r>
        <w:t xml:space="preserve"> </w:t>
      </w:r>
      <w:r>
        <w:t xml:space="preserve">beim Keycloak-Self-Registration (</w:t>
      </w:r>
      <w:r>
        <w:rPr>
          <w:rStyle w:val="VerbatimChar"/>
        </w:rPr>
        <w:t xml:space="preserve">verifyEmail: true</w:t>
      </w:r>
      <w:r>
        <w:t xml:space="preserve"> </w:t>
      </w:r>
      <w:r>
        <w:t xml:space="preserve">+ SMTP gegen Mailhog im Dev). Verhindert endlose Neu-Registrierung zum Umgehen der Limits. SMTP über</w:t>
      </w:r>
      <w:r>
        <w:t xml:space="preserve"> </w:t>
      </w:r>
      <w:r>
        <w:rPr>
          <w:rStyle w:val="VerbatimChar"/>
        </w:rPr>
        <w:t xml:space="preserve">${KC_SMTP_*}</w:t>
      </w:r>
      <w:r>
        <w:t xml:space="preserve"> </w:t>
      </w:r>
      <w:r>
        <w:t xml:space="preserve">parametrisiert (Dev = Mailhog, Prod via Env-Vars).</w:t>
      </w:r>
    </w:p>
    <w:p>
      <w:pPr>
        <w:pStyle w:val="FirstParagraph"/>
      </w:pPr>
      <w:r>
        <w:t xml:space="preserve">Verifiziert via</w:t>
      </w:r>
      <w:r>
        <w:t xml:space="preserve"> </w:t>
      </w:r>
      <w:r>
        <w:rPr>
          <w:rStyle w:val="VerbatimChar"/>
        </w:rPr>
        <w:t xml:space="preserve">MatchAnalysisRateLimitIT</w:t>
      </w:r>
      <w:r>
        <w:t xml:space="preserve"> </w:t>
      </w:r>
      <w:r>
        <w:t xml:space="preserve">(3. POST → 429 mit korrektem</w:t>
      </w:r>
      <w:r>
        <w:t xml:space="preserve"> </w:t>
      </w:r>
      <w:r>
        <w:rPr>
          <w:rStyle w:val="VerbatimChar"/>
        </w:rPr>
        <w:t xml:space="preserve">Retry-After</w:t>
      </w:r>
      <w:r>
        <w:t xml:space="preserve">).</w:t>
      </w:r>
    </w:p>
    <w:bookmarkEnd w:id="67"/>
    <w:bookmarkStart w:id="68" w:name="Xb0181a0f62b9f3064a175f2529f72aa5b101adb"/>
    <w:p>
      <w:pPr>
        <w:pStyle w:val="Heading3"/>
      </w:pPr>
      <w:r>
        <w:t xml:space="preserve">7.1.4 TLS &amp; Secret-Hygiene im Prod-Overlay (STRIDE T1+S3+S4+I3+D6)</w:t>
      </w:r>
    </w:p>
    <w:p>
      <w:pPr>
        <w:pStyle w:val="FirstParagraph"/>
      </w:pPr>
      <w:r>
        <w:t xml:space="preserve">Der Basis-</w:t>
      </w:r>
      <w:r>
        <w:rPr>
          <w:rStyle w:val="VerbatimChar"/>
        </w:rPr>
        <w:t xml:space="preserve">compose.yml</w:t>
      </w:r>
      <w:r>
        <w:t xml:space="preserve"> </w:t>
      </w:r>
      <w:r>
        <w:t xml:space="preserve">ist auf Dev getrimmt (Default-Credentials, Mailhog, Keycloak</w:t>
      </w:r>
      <w:r>
        <w:t xml:space="preserve"> </w:t>
      </w:r>
      <w:r>
        <w:rPr>
          <w:rStyle w:val="VerbatimChar"/>
        </w:rPr>
        <w:t xml:space="preserve">start-dev</w:t>
      </w:r>
      <w:r>
        <w:t xml:space="preserve">, nginx HTTP). Der Overlay</w:t>
      </w:r>
      <w:r>
        <w:t xml:space="preserve"> </w:t>
      </w:r>
      <w:r>
        <w:rPr>
          <w:rStyle w:val="VerbatimChar"/>
        </w:rPr>
        <w:t xml:space="preserve">docker/compose.prod.yml</w:t>
      </w:r>
      <w:r>
        <w:t xml:space="preserve"> </w:t>
      </w:r>
      <w:r>
        <w:t xml:space="preserve">mitigiert die STRIDE-Befunde: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Komponente</w:t>
            </w:r>
          </w:p>
        </w:tc>
        <w:tc>
          <w:tcPr/>
          <w:p>
            <w:pPr>
              <w:pStyle w:val="Compact"/>
            </w:pPr>
            <w:r>
              <w:t xml:space="preserve">Massnahme</w:t>
            </w:r>
          </w:p>
        </w:tc>
      </w:tr>
      <w:tr>
        <w:tc>
          <w:tcPr/>
          <w:p>
            <w:pPr>
              <w:pStyle w:val="Compact"/>
            </w:pPr>
            <w:r>
              <w:rPr>
                <w:b/>
                <w:bCs/>
              </w:rPr>
              <w:t xml:space="preserve">nginx</w:t>
            </w:r>
            <w:r>
              <w:t xml:space="preserve"> </w:t>
            </w:r>
            <w:r>
              <w:t xml:space="preserve">(</w:t>
            </w:r>
            <w:r>
              <w:rPr>
                <w:rStyle w:val="VerbatimChar"/>
              </w:rPr>
              <w:t xml:space="preserve">nginx.prod.conf</w:t>
            </w:r>
            <w:r>
              <w:t xml:space="preserve">)</w:t>
            </w:r>
          </w:p>
        </w:tc>
        <w:tc>
          <w:tcPr/>
          <w:p>
            <w:pPr>
              <w:pStyle w:val="Compact"/>
            </w:pPr>
            <w:r>
              <w:t xml:space="preserve">TLS auf 8443 (Host 443); Port 8080 nur HTTP-301-Redirect. Cert-Mount via</w:t>
            </w:r>
            <w:r>
              <w:t xml:space="preserve"> </w:t>
            </w:r>
            <w:r>
              <w:rPr>
                <w:rStyle w:val="VerbatimChar"/>
              </w:rPr>
              <w:t xml:space="preserve">${TLS_CERT_DIR}/tls.{crt,key}</w:t>
            </w:r>
            <w:r>
              <w:t xml:space="preserve">. Security-Header bleiben aktiv.</w:t>
            </w:r>
          </w:p>
        </w:tc>
      </w:tr>
      <w:tr>
        <w:tc>
          <w:tcPr/>
          <w:p>
            <w:pPr>
              <w:pStyle w:val="Compact"/>
            </w:pPr>
            <w:r>
              <w:rPr>
                <w:b/>
                <w:bCs/>
              </w:rPr>
              <w:t xml:space="preserve">Keycloak</w:t>
            </w:r>
          </w:p>
        </w:tc>
        <w:tc>
          <w:tcPr/>
          <w:p>
            <w:pPr>
              <w:pStyle w:val="Compact"/>
            </w:pPr>
            <w:r>
              <w:rPr>
                <w:rStyle w:val="VerbatimChar"/>
              </w:rPr>
              <w:t xml:space="preserve">start --hostname … --proxy-headers=xforwarded --db=postgres …</w:t>
            </w:r>
            <w:r>
              <w:t xml:space="preserve"> </w:t>
            </w:r>
            <w:r>
              <w:t xml:space="preserve">(Prod-Modus, eigene Postgres-DB); Bootstrap-Admin via Env, keine Defaults.</w:t>
            </w:r>
          </w:p>
        </w:tc>
      </w:tr>
      <w:tr>
        <w:tc>
          <w:tcPr/>
          <w:p>
            <w:pPr>
              <w:pStyle w:val="Compact"/>
            </w:pPr>
            <w:r>
              <w:rPr>
                <w:b/>
                <w:bCs/>
              </w:rPr>
              <w:t xml:space="preserve">Postgres</w:t>
            </w:r>
          </w:p>
        </w:tc>
        <w:tc>
          <w:tcPr/>
          <w:p>
            <w:pPr>
              <w:pStyle w:val="Compact"/>
            </w:pPr>
            <w:r>
              <w:rPr>
                <w:rStyle w:val="VerbatimChar"/>
              </w:rPr>
              <w:t xml:space="preserve">${DB_PASSWORD:?…}</w:t>
            </w:r>
            <w:r>
              <w:t xml:space="preserve"> </w:t>
            </w:r>
            <w:r>
              <w:t xml:space="preserve">bricht ohne Passwort ab; Init-Script legt Keycloak-DB + -User an; kein Host-Port.</w:t>
            </w:r>
          </w:p>
        </w:tc>
      </w:tr>
      <w:tr>
        <w:tc>
          <w:tcPr/>
          <w:p>
            <w:pPr>
              <w:pStyle w:val="Compact"/>
            </w:pPr>
            <w:r>
              <w:rPr>
                <w:b/>
                <w:bCs/>
              </w:rPr>
              <w:t xml:space="preserve">Backend</w:t>
            </w:r>
          </w:p>
        </w:tc>
        <w:tc>
          <w:tcPr/>
          <w:p>
            <w:pPr>
              <w:pStyle w:val="Compact"/>
            </w:pPr>
            <w:r>
              <w:rPr>
                <w:rStyle w:val="VerbatimChar"/>
              </w:rPr>
              <w:t xml:space="preserve">OPENAI_API_KEY</w:t>
            </w:r>
            <w:r>
              <w:t xml:space="preserve">,</w:t>
            </w:r>
            <w:r>
              <w:t xml:space="preserve"> </w:t>
            </w:r>
            <w:r>
              <w:rPr>
                <w:rStyle w:val="VerbatimChar"/>
              </w:rPr>
              <w:t xml:space="preserve">DB_*</w:t>
            </w:r>
            <w:r>
              <w:t xml:space="preserve">,</w:t>
            </w:r>
            <w:r>
              <w:t xml:space="preserve"> </w:t>
            </w:r>
            <w:r>
              <w:rPr>
                <w:rStyle w:val="VerbatimChar"/>
              </w:rPr>
              <w:t xml:space="preserve">KEYCLOAK_ISSUER_URI</w:t>
            </w:r>
            <w:r>
              <w:t xml:space="preserve"> </w:t>
            </w:r>
            <w:r>
              <w:t xml:space="preserve">required; kein Host-Port (nur über nginx).</w:t>
            </w:r>
          </w:p>
        </w:tc>
      </w:tr>
      <w:tr>
        <w:tc>
          <w:tcPr/>
          <w:p>
            <w:pPr>
              <w:pStyle w:val="Compact"/>
            </w:pPr>
            <w:r>
              <w:rPr>
                <w:b/>
                <w:bCs/>
              </w:rPr>
              <w:t xml:space="preserve">Mailhog</w:t>
            </w:r>
          </w:p>
        </w:tc>
        <w:tc>
          <w:tcPr/>
          <w:p>
            <w:pPr>
              <w:pStyle w:val="Compact"/>
            </w:pPr>
            <w:r>
              <w:t xml:space="preserve">Entfernt — Prod nutzt echtes SMTP via</w:t>
            </w:r>
            <w:r>
              <w:t xml:space="preserve"> </w:t>
            </w:r>
            <w:r>
              <w:rPr>
                <w:rStyle w:val="VerbatimChar"/>
              </w:rPr>
              <w:t xml:space="preserve">KC_SMTP_*</w:t>
            </w:r>
            <w:r>
              <w:t xml:space="preserve">.</w:t>
            </w:r>
          </w:p>
        </w:tc>
      </w:tr>
    </w:tbl>
    <w:p>
      <w:pPr>
        <w:pStyle w:val="BodyText"/>
      </w:pPr>
      <w:r>
        <w:t xml:space="preserve">Aktivierung:</w:t>
      </w:r>
      <w:r>
        <w:br/>
      </w:r>
      <w:r>
        <w:rPr>
          <w:rStyle w:val="VerbatimChar"/>
        </w:rPr>
        <w:t xml:space="preserve">podman compose -f docker/compose.yml -f docker/compose.prod.yml up -d --build</w:t>
      </w:r>
    </w:p>
    <w:p>
      <w:pPr>
        <w:pStyle w:val="BodyText"/>
      </w:pPr>
      <w:r>
        <w:t xml:space="preserve">(echte Werte via</w:t>
      </w:r>
      <w:r>
        <w:t xml:space="preserve"> </w:t>
      </w:r>
      <w:r>
        <w:rPr>
          <w:rStyle w:val="VerbatimChar"/>
        </w:rPr>
        <w:t xml:space="preserve">.env</w:t>
      </w:r>
      <w:r>
        <w:t xml:space="preserve">; Vorlage</w:t>
      </w:r>
      <w:r>
        <w:t xml:space="preserve"> </w:t>
      </w:r>
      <w:r>
        <w:rPr>
          <w:rStyle w:val="VerbatimChar"/>
        </w:rPr>
        <w:t xml:space="preserve">docker/.env.prod.example</w:t>
      </w:r>
      <w:r>
        <w:t xml:space="preserve">). Cert-Provisionierung (Let’s Encrypt o. ä.) liegt ausserhalb des Overlays.</w:t>
      </w:r>
    </w:p>
    <w:p>
      <w:r>
        <w:pict>
          <v:rect style="width:0;height:1.5pt" o:hralign="center" o:hrstd="t" o:hr="t"/>
        </w:pict>
      </w:r>
    </w:p>
    <w:bookmarkEnd w:id="68"/>
    <w:bookmarkEnd w:id="69"/>
    <w:bookmarkStart w:id="79" w:name="querschnittliche-konzepte"/>
    <w:p>
      <w:pPr>
        <w:pStyle w:val="Heading2"/>
      </w:pPr>
      <w:r>
        <w:t xml:space="preserve">8. Querschnittliche Konzepte</w:t>
      </w:r>
    </w:p>
    <w:bookmarkStart w:id="70" w:name="sicherheitskonzept"/>
    <w:p>
      <w:pPr>
        <w:pStyle w:val="Heading3"/>
      </w:pPr>
      <w:r>
        <w:t xml:space="preserve">8.1 Sicherheitskonzept</w:t>
      </w:r>
    </w:p>
    <w:p>
      <w:pPr>
        <w:pStyle w:val="FirstParagraph"/>
      </w:pPr>
      <w:r>
        <w:t xml:space="preserve">Alle API-Endpunkte (ausser Health-Check) sind durch OAuth2-Bearer-Tokens geschützt.</w:t>
      </w:r>
      <w:r>
        <w:br/>
      </w:r>
      <w:r>
        <w:t xml:space="preserve">Das Frontend nutzt Authorization Code Flow mit PKCE.</w:t>
      </w:r>
      <w:r>
        <w:br/>
      </w:r>
      <w:r>
        <w:t xml:space="preserve">Keycloak verwaltet Nutzer, Rollen und Sessions (V1 direkte Registrierung, ab zusätzlich V2 Google als federated IDP).</w:t>
      </w:r>
    </w:p>
    <w:p>
      <w:pPr>
        <w:pStyle w:val="Compact"/>
        <w:numPr>
          <w:ilvl w:val="0"/>
          <w:numId w:val="1006"/>
        </w:numPr>
      </w:pPr>
      <w:r>
        <w:rPr>
          <w:b/>
          <w:bCs/>
        </w:rPr>
        <w:t xml:space="preserve">Test-Profil-Guard (STRIDE E2).</w:t>
      </w:r>
      <w:r>
        <w:t xml:space="preserve"> </w:t>
      </w:r>
      <w:r>
        <w:t xml:space="preserve">Der</w:t>
      </w:r>
      <w:r>
        <w:t xml:space="preserve"> </w:t>
      </w:r>
      <w:r>
        <w:rPr>
          <w:rStyle w:val="VerbatimChar"/>
        </w:rPr>
        <w:t xml:space="preserve">permitAll</w:t>
      </w:r>
      <w:r>
        <w:t xml:space="preserve">-</w:t>
      </w:r>
      <w:r>
        <w:rPr>
          <w:rStyle w:val="VerbatimChar"/>
        </w:rPr>
        <w:t xml:space="preserve">SecurityFilterChain</w:t>
      </w:r>
      <w:r>
        <w:t xml:space="preserve"> </w:t>
      </w:r>
      <w:r>
        <w:t xml:space="preserve">für Integrationstests lebt ausschliesslich in</w:t>
      </w:r>
      <w:r>
        <w:t xml:space="preserve"> </w:t>
      </w:r>
      <w:r>
        <w:rPr>
          <w:rStyle w:val="VerbatimChar"/>
        </w:rPr>
        <w:t xml:space="preserve">auth-module/src/testFixtures/</w:t>
      </w:r>
      <w:r>
        <w:t xml:space="preserve"> </w:t>
      </w:r>
      <w:r>
        <w:t xml:space="preserve">(nicht im Boot-Jar). Zusätzlich bricht</w:t>
      </w:r>
      <w:r>
        <w:t xml:space="preserve"> </w:t>
      </w:r>
      <w:r>
        <w:rPr>
          <w:rStyle w:val="VerbatimChar"/>
        </w:rPr>
        <w:t xml:space="preserve">TestProfileGuard</w:t>
      </w:r>
      <w:r>
        <w:t xml:space="preserve"> </w:t>
      </w:r>
      <w:r>
        <w:t xml:space="preserve">(</w:t>
      </w:r>
      <w:r>
        <w:rPr>
          <w:rStyle w:val="VerbatimChar"/>
        </w:rPr>
        <w:t xml:space="preserve">EnvironmentPostProcessor</w:t>
      </w:r>
      <w:r>
        <w:t xml:space="preserve">) den Boot ab, sobald das</w:t>
      </w:r>
      <w:r>
        <w:t xml:space="preserve"> </w:t>
      </w:r>
      <w:r>
        <w:rPr>
          <w:rStyle w:val="VerbatimChar"/>
        </w:rPr>
        <w:t xml:space="preserve">test</w:t>
      </w:r>
      <w:r>
        <w:t xml:space="preserve">-Profil mit</w:t>
      </w:r>
      <w:r>
        <w:t xml:space="preserve"> </w:t>
      </w:r>
      <w:r>
        <w:rPr>
          <w:rStyle w:val="VerbatimChar"/>
        </w:rPr>
        <w:t xml:space="preserve">prod</w:t>
      </w:r>
      <w:r>
        <w:t xml:space="preserve">/</w:t>
      </w:r>
      <w:r>
        <w:rPr>
          <w:rStyle w:val="VerbatimChar"/>
        </w:rPr>
        <w:t xml:space="preserve">docker</w:t>
      </w:r>
      <w:r>
        <w:t xml:space="preserve"> </w:t>
      </w:r>
      <w:r>
        <w:t xml:space="preserve">kombiniert wird oder die Datasource nicht auf In-Memory-H2 zeigt. Acht Unit-Tests decken die Kombinationen ab.</w:t>
      </w:r>
    </w:p>
    <w:p>
      <w:pPr>
        <w:pStyle w:val="Compact"/>
        <w:numPr>
          <w:ilvl w:val="0"/>
          <w:numId w:val="1006"/>
        </w:numPr>
      </w:pPr>
      <w:r>
        <w:rPr>
          <w:b/>
          <w:bCs/>
        </w:rPr>
        <w:t xml:space="preserve">JWT-Validierung (STRIDE S1).</w:t>
      </w:r>
      <w:r>
        <w:t xml:space="preserve"> </w:t>
      </w:r>
      <w:r>
        <w:t xml:space="preserve">Der</w:t>
      </w:r>
      <w:r>
        <w:t xml:space="preserve"> </w:t>
      </w:r>
      <w:r>
        <w:rPr>
          <w:rStyle w:val="VerbatimChar"/>
        </w:rPr>
        <w:t xml:space="preserve">JwtDecoder</w:t>
      </w:r>
      <w:r>
        <w:t xml:space="preserve"> </w:t>
      </w:r>
      <w:r>
        <w:t xml:space="preserve">kombiniert drei Validatoren: (a)</w:t>
      </w:r>
      <w:r>
        <w:t xml:space="preserve"> </w:t>
      </w:r>
      <w:r>
        <w:rPr>
          <w:rStyle w:val="VerbatimChar"/>
        </w:rPr>
        <w:t xml:space="preserve">createDefaultWithIssuer</w:t>
      </w:r>
      <w:r>
        <w:t xml:space="preserve"> </w:t>
      </w:r>
      <w:r>
        <w:t xml:space="preserve">(iss + Default-Claims), (b) JWK-Set-Signaturprüfung, (c)</w:t>
      </w:r>
      <w:r>
        <w:t xml:space="preserve"> </w:t>
      </w:r>
      <w:r>
        <w:rPr>
          <w:rStyle w:val="VerbatimChar"/>
        </w:rPr>
        <w:t xml:space="preserve">JwtClaimValidator("aud", … contains "tsas-frontend")</w:t>
      </w:r>
      <w:r>
        <w:t xml:space="preserve">. Ohne (c) würde jedes Realm-Token akzeptiert. Erwartete Audience via</w:t>
      </w:r>
      <w:r>
        <w:t xml:space="preserve"> </w:t>
      </w:r>
      <w:r>
        <w:rPr>
          <w:rStyle w:val="VerbatimChar"/>
        </w:rPr>
        <w:t xml:space="preserve">tsas.security.expected-audience</w:t>
      </w:r>
      <w:r>
        <w:t xml:space="preserve"> </w:t>
      </w:r>
      <w:r>
        <w:t xml:space="preserve">(Default</w:t>
      </w:r>
      <w:r>
        <w:t xml:space="preserve"> </w:t>
      </w:r>
      <w:r>
        <w:rPr>
          <w:rStyle w:val="VerbatimChar"/>
        </w:rPr>
        <w:t xml:space="preserve">tsas-frontend</w:t>
      </w:r>
      <w:r>
        <w:t xml:space="preserve">), geliefert per Keycloak-</w:t>
      </w:r>
      <w:r>
        <w:rPr>
          <w:rStyle w:val="VerbatimChar"/>
        </w:rPr>
        <w:t xml:space="preserve">oidc-audience-mapper</w:t>
      </w:r>
      <w:r>
        <w:t xml:space="preserve">.</w:t>
      </w:r>
    </w:p>
    <w:p>
      <w:pPr>
        <w:pStyle w:val="Compact"/>
        <w:numPr>
          <w:ilvl w:val="0"/>
          <w:numId w:val="1006"/>
        </w:numPr>
      </w:pPr>
      <w:r>
        <w:rPr>
          <w:b/>
          <w:bCs/>
        </w:rPr>
        <w:t xml:space="preserve">RBAC im Frontend.</w:t>
      </w:r>
      <w:r>
        <w:t xml:space="preserve"> </w:t>
      </w:r>
      <w:r>
        <w:t xml:space="preserve">Backend setzt die Realm-Rollen</w:t>
      </w:r>
      <w:r>
        <w:t xml:space="preserve"> </w:t>
      </w:r>
      <w:r>
        <w:rPr>
          <w:rStyle w:val="VerbatimChar"/>
        </w:rPr>
        <w:t xml:space="preserve">COACH</w:t>
      </w:r>
      <w:r>
        <w:t xml:space="preserve">/</w:t>
      </w:r>
      <w:r>
        <w:rPr>
          <w:rStyle w:val="VerbatimChar"/>
        </w:rPr>
        <w:t xml:space="preserve">ADMIN</w:t>
      </w:r>
      <w:r>
        <w:t xml:space="preserve"> </w:t>
      </w:r>
      <w:r>
        <w:t xml:space="preserve">durch und reicht den JWT-</w:t>
      </w:r>
      <w:r>
        <w:rPr>
          <w:rStyle w:val="VerbatimChar"/>
        </w:rPr>
        <w:t xml:space="preserve">sub</w:t>
      </w:r>
      <w:r>
        <w:t xml:space="preserve"> </w:t>
      </w:r>
      <w:r>
        <w:t xml:space="preserve">als</w:t>
      </w:r>
      <w:r>
        <w:t xml:space="preserve"> </w:t>
      </w:r>
      <w:r>
        <w:rPr>
          <w:rStyle w:val="VerbatimChar"/>
        </w:rPr>
        <w:t xml:space="preserve">owner_id</w:t>
      </w:r>
      <w:r>
        <w:t xml:space="preserve"> </w:t>
      </w:r>
      <w:r>
        <w:t xml:space="preserve">in die Persistenz. Der</w:t>
      </w:r>
      <w:r>
        <w:t xml:space="preserve"> </w:t>
      </w:r>
      <w:r>
        <w:rPr>
          <w:rStyle w:val="VerbatimChar"/>
        </w:rPr>
        <w:t xml:space="preserve">AuthService</w:t>
      </w:r>
      <w:r>
        <w:t xml:space="preserve"> </w:t>
      </w:r>
      <w:r>
        <w:t xml:space="preserve">exponiert</w:t>
      </w:r>
      <w:r>
        <w:t xml:space="preserve"> </w:t>
      </w:r>
      <w:r>
        <w:rPr>
          <w:rStyle w:val="VerbatimChar"/>
        </w:rPr>
        <w:t xml:space="preserve">roles</w:t>
      </w:r>
      <w:r>
        <w:t xml:space="preserve">/</w:t>
      </w:r>
      <w:r>
        <w:rPr>
          <w:rStyle w:val="VerbatimChar"/>
        </w:rPr>
        <w:t xml:space="preserve">isAdmin</w:t>
      </w:r>
      <w:r>
        <w:t xml:space="preserve">/</w:t>
      </w:r>
      <w:r>
        <w:rPr>
          <w:rStyle w:val="VerbatimChar"/>
        </w:rPr>
        <w:t xml:space="preserve">userId</w:t>
      </w:r>
      <w:r>
        <w:t xml:space="preserve"> </w:t>
      </w:r>
      <w:r>
        <w:t xml:space="preserve">als Signals. Daraus: ADMIN-Chip in der Toolbar, Scope-Toggle „Meine/Alle Owner” für Admins (client-seitig auf</w:t>
      </w:r>
      <w:r>
        <w:t xml:space="preserve"> </w:t>
      </w:r>
      <w:r>
        <w:rPr>
          <w:rStyle w:val="VerbatimChar"/>
        </w:rPr>
        <w:t xml:space="preserve">ownerId</w:t>
      </w:r>
      <w:r>
        <w:t xml:space="preserve">),</w:t>
      </w:r>
      <w:r>
        <w:t xml:space="preserve"> </w:t>
      </w:r>
      <w:r>
        <w:rPr>
          <w:rStyle w:val="VerbatimChar"/>
        </w:rPr>
        <w:t xml:space="preserve">ownerId</w:t>
      </w:r>
      <w:r>
        <w:t xml:space="preserve"> </w:t>
      </w:r>
      <w:r>
        <w:t xml:space="preserve">in</w:t>
      </w:r>
      <w:r>
        <w:t xml:space="preserve"> </w:t>
      </w:r>
      <w:r>
        <w:rPr>
          <w:rStyle w:val="VerbatimChar"/>
        </w:rPr>
        <w:t xml:space="preserve">PlayerResponse</w:t>
      </w:r>
      <w:r>
        <w:t xml:space="preserve">/</w:t>
      </w:r>
      <w:r>
        <w:rPr>
          <w:rStyle w:val="VerbatimChar"/>
        </w:rPr>
        <w:t xml:space="preserve">MatchResponse</w:t>
      </w:r>
      <w:r>
        <w:t xml:space="preserve">. Rollen-Verwaltung bleibt in der Keycloak-Admin-Konsole (UI out-of-scope V1).</w:t>
      </w:r>
    </w:p>
    <w:bookmarkEnd w:id="70"/>
    <w:bookmarkStart w:id="71" w:name="persistenz"/>
    <w:p>
      <w:pPr>
        <w:pStyle w:val="Heading3"/>
      </w:pPr>
      <w:r>
        <w:t xml:space="preserve">8.2 Persistenz</w:t>
      </w:r>
    </w:p>
    <w:p>
      <w:pPr>
        <w:pStyle w:val="FirstParagraph"/>
      </w:pPr>
      <w:r>
        <w:t xml:space="preserve">Spring Data JPA / Hibernate auf PostgreSQL; jedes Modul mit eigenen Repositories; Schema via</w:t>
      </w:r>
      <w:r>
        <w:t xml:space="preserve"> </w:t>
      </w:r>
      <w:r>
        <w:rPr>
          <w:b/>
          <w:bCs/>
        </w:rPr>
        <w:t xml:space="preserve">Flyway</w:t>
      </w:r>
      <w:r>
        <w:t xml:space="preserve">.</w:t>
      </w:r>
    </w:p>
    <w:p>
      <w:pPr>
        <w:pStyle w:val="Compact"/>
        <w:numPr>
          <w:ilvl w:val="0"/>
          <w:numId w:val="1007"/>
        </w:numPr>
      </w:pP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Schema</w:t>
      </w:r>
      <w:r>
        <w:t xml:space="preserve"> </w:t>
      </w:r>
      <w:r>
        <w:rPr>
          <w:rStyle w:val="VerbatimChar"/>
        </w:rPr>
        <w:t xml:space="preserve">V{n}__{beschreibung}.sql</w:t>
      </w:r>
      <w:r>
        <w:t xml:space="preserve">;</w:t>
      </w:r>
      <w:r>
        <w:t xml:space="preserve"> </w:t>
      </w:r>
      <w:r>
        <w:rPr>
          <w:rStyle w:val="VerbatimChar"/>
        </w:rPr>
        <w:t xml:space="preserve">V1__baseline.sql</w:t>
      </w:r>
      <w:r>
        <w:t xml:space="preserve"> </w:t>
      </w:r>
      <w:r>
        <w:t xml:space="preserve">= initiales Schema.</w:t>
      </w:r>
    </w:p>
    <w:p>
      <w:pPr>
        <w:pStyle w:val="Compact"/>
        <w:numPr>
          <w:ilvl w:val="0"/>
          <w:numId w:val="1007"/>
        </w:numPr>
      </w:pPr>
      <w:r>
        <w:t xml:space="preserve">Hibernate</w:t>
      </w:r>
      <w:r>
        <w:t xml:space="preserve"> </w:t>
      </w:r>
      <w:r>
        <w:rPr>
          <w:rStyle w:val="VerbatimChar"/>
        </w:rPr>
        <w:t xml:space="preserve">ddl-auto</w:t>
      </w:r>
      <w:r>
        <w:t xml:space="preserve"> </w:t>
      </w:r>
      <w:r>
        <w:t xml:space="preserve">=</w:t>
      </w:r>
      <w:r>
        <w:t xml:space="preserve"> </w:t>
      </w:r>
      <w:r>
        <w:rPr>
          <w:rStyle w:val="VerbatimChar"/>
        </w:rPr>
        <w:t xml:space="preserve">validate</w:t>
      </w:r>
      <w:r>
        <w:t xml:space="preserve"> </w:t>
      </w:r>
      <w:r>
        <w:t xml:space="preserve">(PostgreSQL — Default und</w:t>
      </w:r>
      <w:r>
        <w:t xml:space="preserve"> </w:t>
      </w:r>
      <w:r>
        <w:rPr>
          <w:rStyle w:val="VerbatimChar"/>
        </w:rPr>
        <w:t xml:space="preserve">local</w:t>
      </w:r>
      <w:r>
        <w:t xml:space="preserve">-Profil) bzw.</w:t>
      </w:r>
      <w:r>
        <w:t xml:space="preserve"> </w:t>
      </w:r>
      <w:r>
        <w:rPr>
          <w:rStyle w:val="VerbatimChar"/>
        </w:rPr>
        <w:t xml:space="preserve">none</w:t>
      </w:r>
      <w:r>
        <w:t xml:space="preserve"> </w:t>
      </w:r>
      <w:r>
        <w:t xml:space="preserve">im</w:t>
      </w:r>
      <w:r>
        <w:t xml:space="preserve"> </w:t>
      </w:r>
      <w:r>
        <w:rPr>
          <w:rStyle w:val="VerbatimChar"/>
        </w:rPr>
        <w:t xml:space="preserve">test</w:t>
      </w:r>
      <w:r>
        <w:t xml:space="preserve">-Profil (H2) — Flyway ist einzige Schema-Quelle.</w:t>
      </w:r>
    </w:p>
    <w:p>
      <w:pPr>
        <w:pStyle w:val="Compact"/>
        <w:numPr>
          <w:ilvl w:val="0"/>
          <w:numId w:val="1007"/>
        </w:numPr>
      </w:pPr>
      <w:r>
        <w:rPr>
          <w:b/>
          <w:bCs/>
        </w:rPr>
        <w:t xml:space="preserve">H2 wird nur noch im</w:t>
      </w:r>
      <w:r>
        <w:rPr>
          <w:b/>
          <w:bCs/>
        </w:rPr>
        <w:t xml:space="preserve"> </w:t>
      </w:r>
      <w:r>
        <w:rPr>
          <w:rStyle w:val="VerbatimChar"/>
          <w:b/>
          <w:bCs/>
        </w:rPr>
        <w:t xml:space="preserve">test</w:t>
      </w:r>
      <w:r>
        <w:rPr>
          <w:b/>
          <w:bCs/>
        </w:rPr>
        <w:t xml:space="preserve">-Profil</w:t>
      </w:r>
      <w:r>
        <w:t xml:space="preserve"> </w:t>
      </w:r>
      <w:r>
        <w:t xml:space="preserve">(</w:t>
      </w:r>
      <w:r>
        <w:rPr>
          <w:rStyle w:val="VerbatimChar"/>
        </w:rPr>
        <w:t xml:space="preserve">application-test.yml</w:t>
      </w:r>
      <w:r>
        <w:t xml:space="preserve">, in-memory) verwendet — für Unit-/Slice-Tests und einzelne Context-/Contract-Tests. Die Integrationstests (</w:t>
      </w:r>
      <w:r>
        <w:rPr>
          <w:rStyle w:val="VerbatimChar"/>
        </w:rPr>
        <w:t xml:space="preserve">*IT</w:t>
      </w:r>
      <w:r>
        <w:t xml:space="preserve">) laufen über</w:t>
      </w:r>
      <w:r>
        <w:t xml:space="preserve"> </w:t>
      </w:r>
      <w:r>
        <w:rPr>
          <w:b/>
          <w:bCs/>
        </w:rPr>
        <w:t xml:space="preserve">Testcontainers gegen echtes PostgreSQL 16</w:t>
      </w:r>
      <w:r>
        <w:t xml:space="preserve"> </w:t>
      </w:r>
      <w:r>
        <w:t xml:space="preserve">(per</w:t>
      </w:r>
      <w:r>
        <w:t xml:space="preserve"> </w:t>
      </w:r>
      <w:r>
        <w:rPr>
          <w:rStyle w:val="VerbatimChar"/>
        </w:rPr>
        <w:t xml:space="preserve">@DynamicPropertySource</w:t>
      </w:r>
      <w:r>
        <w:t xml:space="preserve"> </w:t>
      </w:r>
      <w:r>
        <w:t xml:space="preserve">verdrahtet; erfordert eine Container-Runtime). Das</w:t>
      </w:r>
      <w:r>
        <w:t xml:space="preserve"> </w:t>
      </w:r>
      <w:r>
        <w:rPr>
          <w:rStyle w:val="VerbatimChar"/>
        </w:rPr>
        <w:t xml:space="preserve">local</w:t>
      </w:r>
      <w:r>
        <w:t xml:space="preserve">-Profil nutzt ebenfalls PostgreSQL (kein H2).</w:t>
      </w:r>
    </w:p>
    <w:p>
      <w:pPr>
        <w:pStyle w:val="Compact"/>
        <w:numPr>
          <w:ilvl w:val="0"/>
          <w:numId w:val="1007"/>
        </w:numPr>
      </w:pPr>
      <w:r>
        <w:t xml:space="preserve">Migrationen nutzen weitgehend ANSI-SQL (PostgreSQL- und H2-kompatibel), sodass dieselben Flyway-Skripte im</w:t>
      </w:r>
      <w:r>
        <w:t xml:space="preserve"> </w:t>
      </w:r>
      <w:r>
        <w:rPr>
          <w:rStyle w:val="VerbatimChar"/>
        </w:rPr>
        <w:t xml:space="preserve">test</w:t>
      </w:r>
      <w:r>
        <w:t xml:space="preserve">-Profil (H2) und auf PostgreSQL greifen.</w:t>
      </w:r>
    </w:p>
    <w:bookmarkEnd w:id="71"/>
    <w:bookmarkStart w:id="72" w:name="fehlerbehandlung"/>
    <w:p>
      <w:pPr>
        <w:pStyle w:val="Heading3"/>
      </w:pPr>
      <w:r>
        <w:t xml:space="preserve">8.3 Fehlerbehandlung</w:t>
      </w:r>
    </w:p>
    <w:p>
      <w:pPr>
        <w:pStyle w:val="FirstParagraph"/>
      </w:pPr>
      <w:r>
        <w:t xml:space="preserve">Die Fehlerbehandlung ist deklarativ über</w:t>
      </w:r>
      <w:r>
        <w:t xml:space="preserve"> </w:t>
      </w:r>
      <w:r>
        <w:rPr>
          <w:rStyle w:val="VerbatimChar"/>
        </w:rPr>
        <w:t xml:space="preserve">@RestControllerAdvice</w:t>
      </w:r>
      <w:r>
        <w:t xml:space="preserve"> </w:t>
      </w:r>
      <w:r>
        <w:t xml:space="preserve">gelöst. Das</w:t>
      </w:r>
      <w:r>
        <w:t xml:space="preserve"> </w:t>
      </w:r>
      <w:r>
        <w:rPr>
          <w:b/>
          <w:bCs/>
        </w:rPr>
        <w:t xml:space="preserve">Antwortformat</w:t>
      </w:r>
      <w:r>
        <w:t xml:space="preserve"> </w:t>
      </w:r>
      <w:r>
        <w:t xml:space="preserve">ist durchgängig</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(ersetzt das frühere Ad-hoc-Format); die Schemas der Fehlerantworten (400/404/409/422/502) sind via springdoc unter</w:t>
      </w:r>
      <w:r>
        <w:t xml:space="preserve"> </w:t>
      </w:r>
      <w:r>
        <w:rPr>
          <w:rStyle w:val="VerbatimChar"/>
        </w:rPr>
        <w:t xml:space="preserve">/v3/api-docs</w:t>
      </w:r>
      <w:r>
        <w:t xml:space="preserve"> </w:t>
      </w:r>
      <w:r>
        <w:t xml:space="preserve">dokumentiert.</w:t>
      </w:r>
      <w:r>
        <w:br/>
      </w:r>
      <w:r>
        <w:t xml:space="preserve">Der</w:t>
      </w:r>
      <w:r>
        <w:t xml:space="preserve"> </w:t>
      </w:r>
      <w:r>
        <w:rPr>
          <w:rStyle w:val="VerbatimChar"/>
        </w:rPr>
        <w:t xml:space="preserve">GlobalExceptionHandler</w:t>
      </w:r>
      <w:r>
        <w:t xml:space="preserve"> </w:t>
      </w:r>
      <w:r>
        <w:t xml:space="preserve">behandelt die modulübergreifende</w:t>
      </w:r>
      <w:r>
        <w:t xml:space="preserve"> </w:t>
      </w:r>
      <w:r>
        <w:t xml:space="preserve">“nicht gefunden”</w:t>
      </w:r>
      <w:r>
        <w:t xml:space="preserve">-Domain-Exceptions der fachlichen Module (Player/Match) und führen zu einem 404.</w:t>
      </w:r>
      <w:r>
        <w:br/>
      </w:r>
      <w:r>
        <w:t xml:space="preserve">Querschnittliche Fälle (Konflikte, Validierung, ungültige Argumente) übernimmt der</w:t>
      </w:r>
      <w:r>
        <w:t xml:space="preserve"> </w:t>
      </w:r>
      <w:r>
        <w:rPr>
          <w:rStyle w:val="VerbatimChar"/>
        </w:rPr>
        <w:t xml:space="preserve">CommonExceptionHandler</w:t>
      </w:r>
      <w:r>
        <w:t xml:space="preserve"> </w:t>
      </w:r>
      <w:r>
        <w:t xml:space="preserve">im</w:t>
      </w:r>
      <w:r>
        <w:t xml:space="preserve"> </w:t>
      </w:r>
      <w:r>
        <w:rPr>
          <w:rStyle w:val="VerbatimChar"/>
        </w:rPr>
        <w:t xml:space="preserve">common-module</w:t>
      </w:r>
      <w:r>
        <w:t xml:space="preserve"> </w:t>
      </w:r>
      <w:r>
        <w:t xml:space="preserve">und AI-spezifische Fälle der</w:t>
      </w:r>
      <w:r>
        <w:t xml:space="preserve"> </w:t>
      </w:r>
      <w:r>
        <w:rPr>
          <w:rStyle w:val="VerbatimChar"/>
        </w:rPr>
        <w:t xml:space="preserve">AiExceptionHandler</w:t>
      </w:r>
      <w:r>
        <w:t xml:space="preserve">.</w:t>
      </w:r>
    </w:p>
    <w:p>
      <w:pPr>
        <w:pStyle w:val="BodyText"/>
      </w:pPr>
      <w:r>
        <w:rPr>
          <w:b/>
          <w:bCs/>
        </w:rPr>
        <w:t xml:space="preserve">Catch-all + Sanitization (STRIDE I5+I6).</w:t>
      </w:r>
      <w:r>
        <w:t xml:space="preserve"> </w:t>
      </w:r>
      <w:r>
        <w:t xml:space="preserve">Vier allgemeine Exception-Typen werden als Auffangnetz verwendet. So werden keine interne Details (Klassenpfade, SQL, Stack-Traces) nach aussen gegeben.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Exception</w:t>
            </w:r>
          </w:p>
        </w:tc>
        <w:tc>
          <w:tcPr/>
          <w:p>
            <w:pPr>
              <w:pStyle w:val="Compact"/>
            </w:pPr>
            <w:r>
              <w:t xml:space="preserve">Status</w:t>
            </w:r>
          </w:p>
        </w:tc>
        <w:tc>
          <w:tcPr/>
          <w:p>
            <w:pPr>
              <w:pStyle w:val="Compact"/>
            </w:pPr>
            <w:r>
              <w:t xml:space="preserve">Detail</w:t>
            </w:r>
          </w:p>
        </w:tc>
      </w:tr>
      <w:tr>
        <w:tc>
          <w:tcPr/>
          <w:p>
            <w:pPr>
              <w:pStyle w:val="Compact"/>
            </w:pPr>
            <w:r>
              <w:rPr>
                <w:rStyle w:val="VerbatimChar"/>
              </w:rPr>
              <w:t xml:space="preserve">ResponseStatusException</w:t>
            </w:r>
          </w:p>
        </w:tc>
        <w:tc>
          <w:tcPr/>
          <w:p>
            <w:pPr>
              <w:pStyle w:val="Compact"/>
            </w:pPr>
            <w:r>
              <w:t xml:space="preserve">aus Exception</w:t>
            </w:r>
          </w:p>
        </w:tc>
        <w:tc>
          <w:tcPr/>
          <w:p>
            <w:pPr>
              <w:pStyle w:val="Compact"/>
            </w:pPr>
            <w:r>
              <w:t xml:space="preserve">Reason oder Standard-Phrase</w:t>
            </w:r>
          </w:p>
        </w:tc>
      </w:tr>
      <w:tr>
        <w:tc>
          <w:tcPr/>
          <w:p>
            <w:pPr>
              <w:pStyle w:val="Compact"/>
            </w:pPr>
            <w:r>
              <w:rPr>
                <w:rStyle w:val="VerbatimChar"/>
              </w:rPr>
              <w:t xml:space="preserve">DataIntegrityViolationException</w:t>
            </w:r>
          </w:p>
        </w:tc>
        <w:tc>
          <w:tcPr/>
          <w:p>
            <w:pPr>
              <w:pStyle w:val="Compact"/>
            </w:pPr>
            <w:r>
              <w:t xml:space="preserve">409</w:t>
            </w:r>
          </w:p>
        </w:tc>
        <w:tc>
          <w:tcPr/>
          <w:p>
            <w:pPr>
              <w:pStyle w:val="Compact"/>
            </w:pPr>
            <w:r>
              <w:t xml:space="preserve">Generisch; Original via WARN geloggt</w:t>
            </w:r>
          </w:p>
        </w:tc>
      </w:tr>
      <w:tr>
        <w:tc>
          <w:tcPr/>
          <w:p>
            <w:pPr>
              <w:pStyle w:val="Compact"/>
            </w:pPr>
            <w:r>
              <w:rPr>
                <w:rStyle w:val="VerbatimChar"/>
              </w:rPr>
              <w:t xml:space="preserve">AccessDeniedException</w:t>
            </w:r>
          </w:p>
        </w:tc>
        <w:tc>
          <w:tcPr/>
          <w:p>
            <w:pPr>
              <w:pStyle w:val="Compact"/>
            </w:pPr>
            <w:r>
              <w:t xml:space="preserve">403</w:t>
            </w:r>
          </w:p>
        </w:tc>
        <w:tc>
          <w:tcPr/>
          <w:p>
            <w:pPr>
              <w:pStyle w:val="Compact"/>
            </w:pPr>
            <w:r>
              <w:t xml:space="preserve">„Zugriff verweigert.”</w:t>
            </w:r>
          </w:p>
        </w:tc>
      </w:tr>
      <w:tr>
        <w:tc>
          <w:tcPr/>
          <w:p>
            <w:pPr>
              <w:pStyle w:val="Compact"/>
            </w:pPr>
            <w:r>
              <w:rPr>
                <w:rStyle w:val="VerbatimChar"/>
              </w:rPr>
              <w:t xml:space="preserve">Exception</w:t>
            </w:r>
            <w:r>
              <w:t xml:space="preserve"> </w:t>
            </w:r>
            <w:r>
              <w:t xml:space="preserve">(Catch-all)</w:t>
            </w:r>
          </w:p>
        </w:tc>
        <w:tc>
          <w:tcPr/>
          <w:p>
            <w:pPr>
              <w:pStyle w:val="Compact"/>
            </w:pPr>
            <w:r>
              <w:t xml:space="preserve">500</w:t>
            </w:r>
          </w:p>
        </w:tc>
        <w:tc>
          <w:tcPr/>
          <w:p>
            <w:pPr>
              <w:pStyle w:val="Compact"/>
            </w:pPr>
            <w:r>
              <w:t xml:space="preserve">„Interner Fehler …“; Original via ERROR geloggt</w:t>
            </w:r>
          </w:p>
        </w:tc>
      </w:tr>
    </w:tbl>
    <w:p>
      <w:pPr>
        <w:pStyle w:val="BodyText"/>
      </w:pPr>
      <w:r>
        <w:t xml:space="preserve">Damit auch Springs eingebauter</w:t>
      </w:r>
      <w:r>
        <w:t xml:space="preserve"> </w:t>
      </w:r>
      <w:r>
        <w:rPr>
          <w:b/>
          <w:bCs/>
        </w:rPr>
        <w:t xml:space="preserve">Whitelabel-Fallback</w:t>
      </w:r>
      <w:r>
        <w:t xml:space="preserve"> </w:t>
      </w:r>
      <w:r>
        <w:t xml:space="preserve">nichts preisgibt, sind</w:t>
      </w:r>
      <w:r>
        <w:t xml:space="preserve"> </w:t>
      </w:r>
      <w:r>
        <w:rPr>
          <w:rStyle w:val="VerbatimChar"/>
        </w:rPr>
        <w:t xml:space="preserve">server.error.include-message</w:t>
      </w:r>
      <w:r>
        <w:t xml:space="preserve"> </w:t>
      </w:r>
      <w:r>
        <w:t xml:space="preserve">und</w:t>
      </w:r>
      <w:r>
        <w:t xml:space="preserve"> </w:t>
      </w:r>
      <w:r>
        <w:rPr>
          <w:rStyle w:val="VerbatimChar"/>
        </w:rPr>
        <w:t xml:space="preserve">include-stacktrace</w:t>
      </w:r>
      <w:r>
        <w:t xml:space="preserve"> </w:t>
      </w:r>
      <w:r>
        <w:t xml:space="preserve">auf</w:t>
      </w:r>
      <w:r>
        <w:t xml:space="preserve"> </w:t>
      </w:r>
      <w:r>
        <w:rPr>
          <w:rStyle w:val="VerbatimChar"/>
        </w:rPr>
        <w:t xml:space="preserve">never</w:t>
      </w:r>
      <w:r>
        <w:t xml:space="preserve"> </w:t>
      </w:r>
      <w:r>
        <w:t xml:space="preserve">gesetzt — er zeigt dann weder Fehlermeldung noch Stack-Trace.</w:t>
      </w:r>
      <w:r>
        <w:br/>
      </w:r>
      <w:r>
        <w:t xml:space="preserve">Abgesichert wird das durch</w:t>
      </w:r>
      <w:r>
        <w:t xml:space="preserve"> </w:t>
      </w:r>
      <w:r>
        <w:rPr>
          <w:rStyle w:val="VerbatimChar"/>
        </w:rPr>
        <w:t xml:space="preserve">CommonExceptionHandlerTest</w:t>
      </w:r>
      <w:r>
        <w:t xml:space="preserve"> </w:t>
      </w:r>
      <w:r>
        <w:t xml:space="preserve">(7 Testfälle), der prüft, dass in</w:t>
      </w:r>
      <w:r>
        <w:t xml:space="preserve"> </w:t>
      </w:r>
      <w:r>
        <w:rPr>
          <w:rStyle w:val="VerbatimChar"/>
        </w:rPr>
        <w:t xml:space="preserve">detail</w:t>
      </w:r>
      <w:r>
        <w:t xml:space="preserve"> </w:t>
      </w:r>
      <w:r>
        <w:t xml:space="preserve">weder SQL noch UUIDs noch Klassennamen auftauchen.</w:t>
      </w:r>
    </w:p>
    <w:bookmarkEnd w:id="72"/>
    <w:bookmarkStart w:id="73" w:name="logging-und-monitoring"/>
    <w:p>
      <w:pPr>
        <w:pStyle w:val="Heading3"/>
      </w:pPr>
      <w:r>
        <w:t xml:space="preserve">8.4 Logging und Monitoring</w:t>
      </w:r>
    </w:p>
    <w:p>
      <w:pPr>
        <w:pStyle w:val="FirstParagraph"/>
      </w:pPr>
      <w:r>
        <w:t xml:space="preserve">Ein strukturiertes JSON-Logging erfolgt über SLF4J/Logback. Der Spring Boot Actuator liefert Health-/Metrics-/Info-Endpunkte (Prometheus/Grafana-fähig).</w:t>
      </w:r>
    </w:p>
    <w:bookmarkEnd w:id="73"/>
    <w:bookmarkStart w:id="76" w:name="testkonzept"/>
    <w:p>
      <w:pPr>
        <w:pStyle w:val="Heading3"/>
      </w:pPr>
      <w:r>
        <w:t xml:space="preserve">8.5 Testkonzept</w:t>
      </w:r>
    </w:p>
    <w:p>
      <w:pPr>
        <w:pStyle w:val="FirstParagraph"/>
      </w:pPr>
      <w:r>
        <w:t xml:space="preserve">Testpyramide: viele schnelle Unit-Tests (Domäne/Service), eine schmalere Integrations-/API-Schicht gegen den realen Stack, plus Frontend-Komponententests.</w:t>
      </w:r>
    </w:p>
    <w:p>
      <w:pPr>
        <w:pStyle w:val="Compact"/>
        <w:numPr>
          <w:ilvl w:val="0"/>
          <w:numId w:val="1008"/>
        </w:numPr>
      </w:pPr>
      <w:r>
        <w:rPr>
          <w:b/>
          <w:bCs/>
        </w:rPr>
        <w:t xml:space="preserve">Unit (Backend):</w:t>
      </w:r>
      <w:r>
        <w:t xml:space="preserve"> </w:t>
      </w:r>
      <w:r>
        <w:t xml:space="preserve">JUnit 5 + Mockito für Domänenlogik/Services (Scoring, Punkt-Attribution, Use-Case-Vorbedingungen) — ohne Spring-Context.</w:t>
      </w:r>
    </w:p>
    <w:p>
      <w:pPr>
        <w:pStyle w:val="Compact"/>
        <w:numPr>
          <w:ilvl w:val="0"/>
          <w:numId w:val="1008"/>
        </w:numPr>
      </w:pPr>
      <w:r>
        <w:rPr>
          <w:b/>
          <w:bCs/>
        </w:rPr>
        <w:t xml:space="preserve">Integration/API (Backend):</w:t>
      </w:r>
      <w:r>
        <w:t xml:space="preserve"> </w:t>
      </w:r>
      <w:r>
        <w:t xml:space="preserve">Spring Boot Test mit Testcontainers (PostgreSQL) + MockMvc (</w:t>
      </w:r>
      <w:r>
        <w:rPr>
          <w:rStyle w:val="VerbatimChar"/>
        </w:rPr>
        <w:t xml:space="preserve">AbstractIntegrationTest</w:t>
      </w:r>
      <w:r>
        <w:t xml:space="preserve">); JWT via Spring Security Test gemockt (kein laufendes Keycloak nötig).</w:t>
      </w:r>
    </w:p>
    <w:p>
      <w:pPr>
        <w:pStyle w:val="Compact"/>
        <w:numPr>
          <w:ilvl w:val="0"/>
          <w:numId w:val="1008"/>
        </w:numPr>
      </w:pPr>
      <w:r>
        <w:rPr>
          <w:b/>
          <w:bCs/>
        </w:rPr>
        <w:t xml:space="preserve">Coverage-Gate:</w:t>
      </w:r>
      <w:r>
        <w:t xml:space="preserve"> </w:t>
      </w:r>
      <w:r>
        <w:t xml:space="preserve">JaCoCo, modulübergreifend aggregiert (die</w:t>
      </w:r>
      <w:r>
        <w:t xml:space="preserve"> </w:t>
      </w:r>
      <w:r>
        <w:rPr>
          <w:rStyle w:val="VerbatimChar"/>
        </w:rPr>
        <w:t xml:space="preserve">*IT</w:t>
      </w:r>
      <w:r>
        <w:t xml:space="preserve"> </w:t>
      </w:r>
      <w:r>
        <w:t xml:space="preserve">im</w:t>
      </w:r>
      <w:r>
        <w:t xml:space="preserve"> </w:t>
      </w:r>
      <w:r>
        <w:rPr>
          <w:rStyle w:val="VerbatimChar"/>
        </w:rPr>
        <w:t xml:space="preserve">app</w:t>
      </w:r>
      <w:r>
        <w:t xml:space="preserve">-Modul decken alle Module ab;</w:t>
      </w:r>
      <w:r>
        <w:t xml:space="preserve"> </w:t>
      </w:r>
      <w:r>
        <w:rPr>
          <w:rStyle w:val="VerbatimChar"/>
        </w:rPr>
        <w:t xml:space="preserve">jacocoRootReport</w:t>
      </w:r>
      <w:r>
        <w:t xml:space="preserve">/</w:t>
      </w:r>
      <w:r>
        <w:rPr>
          <w:rStyle w:val="VerbatimChar"/>
        </w:rPr>
        <w:t xml:space="preserve">…CoverageVerification</w:t>
      </w:r>
      <w:r>
        <w:t xml:space="preserve">). In</w:t>
      </w:r>
      <w:r>
        <w:t xml:space="preserve"> </w:t>
      </w:r>
      <w:r>
        <w:rPr>
          <w:rStyle w:val="VerbatimChar"/>
        </w:rPr>
        <w:t xml:space="preserve">check</w:t>
      </w:r>
      <w:r>
        <w:t xml:space="preserve"> </w:t>
      </w:r>
      <w:r>
        <w:t xml:space="preserve">eingehängt, bricht unter</w:t>
      </w:r>
      <w:r>
        <w:t xml:space="preserve"> </w:t>
      </w:r>
      <w:r>
        <w:rPr>
          <w:b/>
          <w:bCs/>
        </w:rPr>
        <w:t xml:space="preserve">85 % Line / 70 % Branch</w:t>
      </w:r>
      <w:r>
        <w:t xml:space="preserve"> </w:t>
      </w:r>
      <w:r>
        <w:t xml:space="preserve">(Ist ~95 %/~80 %).</w:t>
      </w:r>
    </w:p>
    <w:p>
      <w:pPr>
        <w:pStyle w:val="Compact"/>
        <w:numPr>
          <w:ilvl w:val="0"/>
          <w:numId w:val="1008"/>
        </w:numPr>
      </w:pPr>
      <w:r>
        <w:rPr>
          <w:b/>
          <w:bCs/>
        </w:rPr>
        <w:t xml:space="preserve">Frontend:</w:t>
      </w:r>
      <w:r>
        <w:t xml:space="preserve"> </w:t>
      </w:r>
      <w:r>
        <w:t xml:space="preserve">Vitest (</w:t>
      </w:r>
      <w:r>
        <w:rPr>
          <w:rStyle w:val="VerbatimChar"/>
        </w:rPr>
        <w:t xml:space="preserve">*.spec.ts</w:t>
      </w:r>
      <w:r>
        <w:t xml:space="preserve">) + Cypress Component Testing (</w:t>
      </w:r>
      <w:r>
        <w:rPr>
          <w:rStyle w:val="VerbatimChar"/>
        </w:rPr>
        <w:t xml:space="preserve">*.cy.ts</w:t>
      </w:r>
      <w:r>
        <w:t xml:space="preserve">, gemockte HTTP via</w:t>
      </w:r>
      <w:r>
        <w:t xml:space="preserve"> </w:t>
      </w:r>
      <w:r>
        <w:rPr>
          <w:rStyle w:val="VerbatimChar"/>
        </w:rPr>
        <w:t xml:space="preserve">cy.intercept</w:t>
      </w:r>
      <w:r>
        <w:t xml:space="preserve">).</w:t>
      </w:r>
    </w:p>
    <w:bookmarkStart w:id="74" w:name="begründung-der-werkzeuge"/>
    <w:p>
      <w:pPr>
        <w:pStyle w:val="Heading4"/>
      </w:pPr>
      <w:r>
        <w:t xml:space="preserve">8.5.1 Begründung der Werkzeuge</w:t>
      </w:r>
    </w:p>
    <w:p>
      <w:pPr>
        <w:pStyle w:val="Compact"/>
        <w:numPr>
          <w:ilvl w:val="0"/>
          <w:numId w:val="1009"/>
        </w:numPr>
      </w:pPr>
      <w:r>
        <w:rPr>
          <w:i/>
          <w:iCs/>
        </w:rPr>
        <w:t xml:space="preserve">Echtes PostgreSQL via Testcontainers statt H2:</w:t>
      </w:r>
      <w:r>
        <w:t xml:space="preserve"> </w:t>
      </w:r>
      <w:r>
        <w:t xml:space="preserve">Persistenz-/Schema-Verhalten ist PostgreSQL-spezifisch und wird gegen dieselbe Engine wie in Prod verifiziert (Flyway V1–V10 real, nativer</w:t>
      </w:r>
      <w:r>
        <w:t xml:space="preserve"> </w:t>
      </w:r>
      <w:r>
        <w:rPr>
          <w:rStyle w:val="VerbatimChar"/>
        </w:rPr>
        <w:t xml:space="preserve">UUID</w:t>
      </w:r>
      <w:r>
        <w:t xml:space="preserve">-Typ,</w:t>
      </w:r>
      <w:r>
        <w:t xml:space="preserve"> </w:t>
      </w:r>
      <w:r>
        <w:rPr>
          <w:rStyle w:val="VerbatimChar"/>
        </w:rPr>
        <w:t xml:space="preserve">CHECK</w:t>
      </w:r>
      <w:r>
        <w:t xml:space="preserve">/</w:t>
      </w:r>
      <w:r>
        <w:rPr>
          <w:rStyle w:val="VerbatimChar"/>
        </w:rPr>
        <w:t xml:space="preserve">ON DELETE CASCADE</w:t>
      </w:r>
      <w:r>
        <w:t xml:space="preserve">); H2 im PG-Modus weicht ab.</w:t>
      </w:r>
      <w:r>
        <w:br/>
      </w:r>
    </w:p>
    <w:p>
      <w:pPr>
        <w:pStyle w:val="Compact"/>
        <w:numPr>
          <w:ilvl w:val="0"/>
          <w:numId w:val="1009"/>
        </w:numPr>
      </w:pPr>
      <w:r>
        <w:rPr>
          <w:i/>
          <w:iCs/>
        </w:rPr>
        <w:t xml:space="preserve">WireMock für den LLM-Adapter:</w:t>
      </w:r>
      <w:r>
        <w:t xml:space="preserve"> </w:t>
      </w:r>
      <w:r>
        <w:rPr>
          <w:rStyle w:val="VerbatimChar"/>
        </w:rPr>
        <w:t xml:space="preserve">OpenAiLlmAdapterTest</w:t>
      </w:r>
      <w:r>
        <w:t xml:space="preserve"> </w:t>
      </w:r>
      <w:r>
        <w:t xml:space="preserve">stubbt den OpenAI-HTTP-Endpoint und prüft den realen Serialisierungspfad deterministisch, offline, ohne Kosten.</w:t>
      </w:r>
      <w:r>
        <w:br/>
      </w:r>
    </w:p>
    <w:p>
      <w:pPr>
        <w:pStyle w:val="Compact"/>
        <w:numPr>
          <w:ilvl w:val="0"/>
          <w:numId w:val="1009"/>
        </w:numPr>
      </w:pPr>
      <w:r>
        <w:rPr>
          <w:i/>
          <w:iCs/>
        </w:rPr>
        <w:t xml:space="preserve">Coverage-Gate 85/70:</w:t>
      </w:r>
      <w:r>
        <w:t xml:space="preserve"> </w:t>
      </w:r>
      <w:r>
        <w:t xml:space="preserve">knapp unter Ist-Stand → fängt Regressionen ohne Brechen bei Schwankungen (ADR-11).</w:t>
      </w:r>
    </w:p>
    <w:bookmarkEnd w:id="74"/>
    <w:bookmarkStart w:id="75" w:name="Xf7234b34e8fd42e05ce6d1c29239cb32179f024"/>
    <w:p>
      <w:pPr>
        <w:pStyle w:val="Heading4"/>
      </w:pPr>
      <w:r>
        <w:t xml:space="preserve">8.5.2 Tests der KI-Anteile (Nichtdeterminismus, Guardrails, Fehlerpfade)</w:t>
      </w:r>
    </w:p>
    <w:p>
      <w:pPr>
        <w:pStyle w:val="FirstParagraph"/>
      </w:pPr>
      <w:r>
        <w:t xml:space="preserve">Die KI-Anteile sind wegen Nichtdeterminismus, externer Abhängigkeit und Kosten gesondert abgesichert:</w:t>
      </w:r>
    </w:p>
    <w:p>
      <w:pPr>
        <w:pStyle w:val="Compact"/>
        <w:numPr>
          <w:ilvl w:val="0"/>
          <w:numId w:val="1010"/>
        </w:numPr>
      </w:pPr>
      <w:r>
        <w:rPr>
          <w:b/>
          <w:bCs/>
        </w:rPr>
        <w:t xml:space="preserve">Nichtdeterminismus eliminieren.</w:t>
      </w:r>
      <w:r>
        <w:t xml:space="preserve"> </w:t>
      </w:r>
      <w:r>
        <w:t xml:space="preserve">Auf Adapter-Ebene fixiert der WireMock-Stub die LLM-Antwort (</w:t>
      </w:r>
      <w:r>
        <w:rPr>
          <w:rStyle w:val="VerbatimChar"/>
        </w:rPr>
        <w:t xml:space="preserve">OpenAiLlmAdapterTest</w:t>
      </w:r>
      <w:r>
        <w:t xml:space="preserve">). Auf Service-/IT-Ebene ersetzt der deterministische</w:t>
      </w:r>
      <w:r>
        <w:t xml:space="preserve"> </w:t>
      </w:r>
      <w:r>
        <w:rPr>
          <w:rStyle w:val="VerbatimChar"/>
        </w:rPr>
        <w:t xml:space="preserve">FakeLlmClientAdapter</w:t>
      </w:r>
      <w:r>
        <w:t xml:space="preserve"> </w:t>
      </w:r>
      <w:r>
        <w:t xml:space="preserve">(aktiv via</w:t>
      </w:r>
      <w:r>
        <w:t xml:space="preserve"> </w:t>
      </w:r>
      <w:r>
        <w:rPr>
          <w:rStyle w:val="VerbatimChar"/>
        </w:rPr>
        <w:t xml:space="preserve">@ConditionalOnMissingBean</w:t>
      </w:r>
      <w:r>
        <w:t xml:space="preserve">, ohne API-Key) den Provider vollständig — die IT belegen das über</w:t>
      </w:r>
      <w:r>
        <w:t xml:space="preserve"> </w:t>
      </w:r>
      <w:r>
        <w:rPr>
          <w:rStyle w:val="VerbatimChar"/>
        </w:rPr>
        <w:t xml:space="preserve">modelUsed = fake-llm</w:t>
      </w:r>
      <w:r>
        <w:t xml:space="preserve">. So sind KI-Pfade reproduzierbar testbar, ohne dass eine generative Antwort das Ergebnis verwackelt.</w:t>
      </w:r>
    </w:p>
    <w:p>
      <w:pPr>
        <w:pStyle w:val="Compact"/>
        <w:numPr>
          <w:ilvl w:val="0"/>
          <w:numId w:val="1010"/>
        </w:numPr>
      </w:pPr>
      <w:r>
        <w:rPr>
          <w:b/>
          <w:bCs/>
        </w:rPr>
        <w:t xml:space="preserve">Guardrails verifizieren.</w:t>
      </w:r>
      <w:r>
        <w:t xml:space="preserve"> </w:t>
      </w:r>
      <w:r>
        <w:rPr>
          <w:rStyle w:val="VerbatimChar"/>
        </w:rPr>
        <w:t xml:space="preserve">MatchAnalysisServiceTest</w:t>
      </w:r>
      <w:r>
        <w:t xml:space="preserve"> </w:t>
      </w:r>
      <w:r>
        <w:t xml:space="preserve">prüft die fachlichen Vorbedingungen explizit:</w:t>
      </w:r>
      <w:r>
        <w:t xml:space="preserve"> </w:t>
      </w:r>
      <w:r>
        <w:rPr>
          <w:rStyle w:val="VerbatimChar"/>
        </w:rPr>
        <w:t xml:space="preserve">generate_throwsWhenMatchNotCompleted</w:t>
      </w:r>
      <w:r>
        <w:t xml:space="preserve"> </w:t>
      </w:r>
      <w:r>
        <w:t xml:space="preserve">(Match muss</w:t>
      </w:r>
      <w:r>
        <w:t xml:space="preserve"> </w:t>
      </w:r>
      <w:r>
        <w:rPr>
          <w:rStyle w:val="VerbatimChar"/>
        </w:rPr>
        <w:t xml:space="preserve">COMPLETED</w:t>
      </w:r>
      <w:r>
        <w:t xml:space="preserve"> </w:t>
      </w:r>
      <w:r>
        <w:t xml:space="preserve">sein) und</w:t>
      </w:r>
      <w:r>
        <w:t xml:space="preserve"> </w:t>
      </w:r>
      <w:r>
        <w:rPr>
          <w:rStyle w:val="VerbatimChar"/>
        </w:rPr>
        <w:t xml:space="preserve">generate_throwsWhenTooFewPoints</w:t>
      </w:r>
      <w:r>
        <w:t xml:space="preserve"> </w:t>
      </w:r>
      <w:r>
        <w:t xml:space="preserve">(Mindestpunktzahl). Die Kosten-Guardrail (Rate-Limit) ist separat in</w:t>
      </w:r>
      <w:r>
        <w:t xml:space="preserve"> </w:t>
      </w:r>
      <w:r>
        <w:rPr>
          <w:rStyle w:val="VerbatimChar"/>
        </w:rPr>
        <w:t xml:space="preserve">MatchAnalysisRateLimitIT</w:t>
      </w:r>
      <w:r>
        <w:t xml:space="preserve"> </w:t>
      </w:r>
      <w:r>
        <w:t xml:space="preserve">abgedeckt (vgl. §7.1.3 / TEN-64).</w:t>
      </w:r>
    </w:p>
    <w:p>
      <w:pPr>
        <w:pStyle w:val="Compact"/>
        <w:numPr>
          <w:ilvl w:val="0"/>
          <w:numId w:val="1010"/>
        </w:numPr>
      </w:pPr>
      <w:r>
        <w:rPr>
          <w:b/>
          <w:bCs/>
        </w:rPr>
        <w:t xml:space="preserve">Fehlerpfade abdecken.</w:t>
      </w:r>
      <w:r>
        <w:t xml:space="preserve"> </w:t>
      </w:r>
      <w:r>
        <w:rPr>
          <w:rStyle w:val="VerbatimChar"/>
        </w:rPr>
        <w:t xml:space="preserve">generate_persistsFailedAnalysisAndRethrowsOnLlmError</w:t>
      </w:r>
      <w:r>
        <w:t xml:space="preserve"> </w:t>
      </w:r>
      <w:r>
        <w:t xml:space="preserve">belegt: ein LLM-Ausfall persistiert einen</w:t>
      </w:r>
      <w:r>
        <w:t xml:space="preserve"> </w:t>
      </w:r>
      <w:r>
        <w:rPr>
          <w:rStyle w:val="VerbatimChar"/>
        </w:rPr>
        <w:t xml:space="preserve">FAILED</w:t>
      </w:r>
      <w:r>
        <w:t xml:space="preserve">-Datensatz</w:t>
      </w:r>
      <w:r>
        <w:t xml:space="preserve"> </w:t>
      </w:r>
      <w:r>
        <w:rPr>
          <w:b/>
          <w:bCs/>
        </w:rPr>
        <w:t xml:space="preserve">und</w:t>
      </w:r>
      <w:r>
        <w:t xml:space="preserve"> </w:t>
      </w:r>
      <w:r>
        <w:t xml:space="preserve">propagiert den Fehler (→ HTTP 502).</w:t>
      </w:r>
      <w:r>
        <w:t xml:space="preserve"> </w:t>
      </w:r>
      <w:r>
        <w:rPr>
          <w:rStyle w:val="VerbatimChar"/>
        </w:rPr>
        <w:t xml:space="preserve">MatchAnalysisControllerIT</w:t>
      </w:r>
      <w:r>
        <w:t xml:space="preserve"> </w:t>
      </w:r>
      <w:r>
        <w:t xml:space="preserve">prüft die HTTP-Abbildung end-to-end gegen echtes PostgreSQL (409 nicht beendet, 422 zu wenige Punkte, 404 unbekannt/cross-tenant).</w:t>
      </w:r>
    </w:p>
    <w:bookmarkEnd w:id="75"/>
    <w:bookmarkEnd w:id="76"/>
    <w:bookmarkStart w:id="77" w:name="continuous-integration-build-gate"/>
    <w:p>
      <w:pPr>
        <w:pStyle w:val="Heading3"/>
      </w:pPr>
      <w:r>
        <w:t xml:space="preserve">8.6 Continuous Integration / Build-Gate</w:t>
      </w:r>
    </w:p>
    <w:p>
      <w:pPr>
        <w:pStyle w:val="FirstParagraph"/>
      </w:pPr>
      <w:r>
        <w:t xml:space="preserve">Zwei GitHub-Actions-Workflows bei jedem Push/PR auf</w:t>
      </w:r>
      <w:r>
        <w:t xml:space="preserve"> </w:t>
      </w:r>
      <w:r>
        <w:rPr>
          <w:rStyle w:val="VerbatimChar"/>
        </w:rPr>
        <w:t xml:space="preserve">develop</w:t>
      </w:r>
      <w:r>
        <w:t xml:space="preserve">/</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t xml:space="preserve">Workflow</w:t>
            </w:r>
          </w:p>
        </w:tc>
        <w:tc>
          <w:tcPr/>
          <w:p>
            <w:pPr>
              <w:pStyle w:val="Compact"/>
            </w:pPr>
            <w:r>
              <w:t xml:space="preserve">Inhalt</w:t>
            </w:r>
          </w:p>
        </w:tc>
      </w:tr>
      <w:tr>
        <w:tc>
          <w:tcPr/>
          <w:p>
            <w:pPr>
              <w:pStyle w:val="Compact"/>
            </w:pPr>
            <w:r>
              <w:t xml:space="preserve">Backend CI (</w:t>
            </w:r>
            <w:r>
              <w:rPr>
                <w:rStyle w:val="VerbatimChar"/>
              </w:rPr>
              <w:t xml:space="preserve">backend-ci.yml</w:t>
            </w:r>
            <w:r>
              <w:t xml:space="preserve">)</w:t>
            </w:r>
          </w:p>
        </w:tc>
        <w:tc>
          <w:tcPr/>
          <w:p>
            <w:pPr>
              <w:pStyle w:val="Compact"/>
            </w:pPr>
            <w:r>
              <w:rPr>
                <w:rStyle w:val="VerbatimChar"/>
              </w:rPr>
              <w:t xml:space="preserve">./gradlew check</w:t>
            </w:r>
            <w:r>
              <w:t xml:space="preserve"> </w:t>
            </w:r>
            <w:r>
              <w:t xml:space="preserve">(Tests + JaCoCo-Gate) auf JDK 25; lädt den aggregierten Coverage-Report als Artifact. Testcontainers nutzt das native Docker des Runners.</w:t>
            </w:r>
          </w:p>
        </w:tc>
      </w:tr>
      <w:tr>
        <w:tc>
          <w:tcPr/>
          <w:p>
            <w:pPr>
              <w:pStyle w:val="Compact"/>
            </w:pPr>
            <w:r>
              <w:t xml:space="preserve">Frontend CI (</w:t>
            </w:r>
            <w:r>
              <w:rPr>
                <w:rStyle w:val="VerbatimChar"/>
              </w:rPr>
              <w:t xml:space="preserve">frontend-ci.yml</w:t>
            </w:r>
            <w:r>
              <w:t xml:space="preserve">)</w:t>
            </w:r>
          </w:p>
        </w:tc>
        <w:tc>
          <w:tcPr/>
          <w:p>
            <w:pPr>
              <w:pStyle w:val="Compact"/>
            </w:pPr>
            <w:r>
              <w:rPr>
                <w:rStyle w:val="VerbatimChar"/>
              </w:rPr>
              <w:t xml:space="preserve">ng build</w:t>
            </w:r>
            <w:r>
              <w:t xml:space="preserve"> </w:t>
            </w:r>
            <w:r>
              <w:t xml:space="preserve">+ Vitest + Cypress auf Node 22 (mit Cache).</w:t>
            </w:r>
          </w:p>
        </w:tc>
      </w:tr>
    </w:tbl>
    <w:p>
      <w:pPr>
        <w:pStyle w:val="BodyText"/>
      </w:pPr>
      <w:r>
        <w:t xml:space="preserve">Beide sind</w:t>
      </w:r>
      <w:r>
        <w:t xml:space="preserve"> </w:t>
      </w:r>
      <w:r>
        <w:rPr>
          <w:b/>
          <w:bCs/>
        </w:rPr>
        <w:t xml:space="preserve">required status checks</w:t>
      </w:r>
      <w:r>
        <w:t xml:space="preserve"> </w:t>
      </w:r>
      <w:r>
        <w:t xml:space="preserve">(Branch Protection) ohne Pfadfilter (ein nicht ausgelöster required Check würde den Merge blockieren).</w:t>
      </w:r>
      <w:r>
        <w:br/>
      </w:r>
      <w:r>
        <w:rPr>
          <w:rStyle w:val="VerbatimChar"/>
        </w:rPr>
        <w:t xml:space="preserve">enforce_admins=false</w:t>
      </w:r>
      <w:r>
        <w:t xml:space="preserve"> </w:t>
      </w:r>
      <w:r>
        <w:t xml:space="preserve">(Admin-Override im Notfall).</w:t>
      </w:r>
    </w:p>
    <w:bookmarkEnd w:id="77"/>
    <w:bookmarkStart w:id="78"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w:t>
      </w:r>
      <w:r>
        <w:rPr>
          <w:rStyle w:val="VerbatimChar"/>
        </w:rPr>
        <w:t xml:space="preserve">develop</w:t>
      </w:r>
      <w:r>
        <w:t xml:space="preserve">, nach PR #6). Reproduzierbar via</w:t>
      </w:r>
      <w:r>
        <w:t xml:space="preserve"> </w:t>
      </w:r>
      <w:r>
        <w:rPr>
          <w:rStyle w:val="VerbatimChar"/>
        </w:rPr>
        <w:t xml:space="preserve">./gradlew clean test jacocoRootReport</w:t>
      </w:r>
      <w:r>
        <w:t xml:space="preserve"> </w:t>
      </w:r>
      <w:r>
        <w:t xml:space="preserve">(JDK 25, Testcontainers). Der aggregierte Report ist eingecheckt unter</w:t>
      </w:r>
      <w:r>
        <w:t xml:space="preserve"> </w:t>
      </w:r>
      <w:r>
        <w:rPr>
          <w:rStyle w:val="VerbatimChar"/>
        </w:rPr>
        <w:t xml:space="preserve">backend/doc/reports/jacoco/jacocoRootReport/</w:t>
      </w:r>
      <w:r>
        <w:t xml:space="preserve"> </w:t>
      </w:r>
      <w:r>
        <w:t xml:space="preserve">und wird in der CI als Artifact hochgeladen.</w:t>
      </w:r>
    </w:p>
    <w:p>
      <w:pPr>
        <w:pStyle w:val="BodyText"/>
      </w:pPr>
      <w:r>
        <w:rPr>
          <w:b/>
          <w:bCs/>
        </w:rPr>
        <w:t xml:space="preserve">Testanzahl (alle grün, 0 Failures/Errors/Skipped):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w:t>
            </w:r>
            <w:r>
              <w:t xml:space="preserve"> </w:t>
            </w:r>
            <w:r>
              <w:rPr>
                <w:rStyle w:val="VerbatimChar"/>
              </w:rPr>
              <w:t xml:space="preserve">ArchitectureTest</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Match-Lebenszyklus, Break-Points</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 Kennzahlen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Coverage (JaCoCo, aggregiert):</w:t>
      </w:r>
      <w:r>
        <w:t xml:space="preserve"> </w:t>
      </w:r>
      <w:r>
        <w:t xml:space="preserve">Gesamt</w:t>
      </w:r>
      <w:r>
        <w:t xml:space="preserve"> </w:t>
      </w:r>
      <w:r>
        <w:rPr>
          <w:b/>
          <w:bCs/>
        </w:rPr>
        <w:t xml:space="preserve">94,8 %</w:t>
      </w:r>
      <w:r>
        <w:t xml:space="preserve"> </w:t>
      </w:r>
      <w:r>
        <w:t xml:space="preserve">Line (1336/1410) /</w:t>
      </w:r>
      <w:r>
        <w:t xml:space="preserve"> </w:t>
      </w:r>
      <w:r>
        <w:rPr>
          <w:b/>
          <w:bCs/>
        </w:rPr>
        <w:t xml:space="preserve">79,7 %</w:t>
      </w:r>
      <w:r>
        <w:t xml:space="preserve"> </w:t>
      </w:r>
      <w:r>
        <w:t xml:space="preserve">Branch (278/349); je Modul</w:t>
      </w:r>
      <w:r>
        <w:t xml:space="preserve"> </w:t>
      </w:r>
      <w:r>
        <w:rPr>
          <w:rStyle w:val="VerbatimChar"/>
        </w:rPr>
        <w:t xml:space="preserve">match</w:t>
      </w:r>
      <w:r>
        <w:t xml:space="preserve"> </w:t>
      </w:r>
      <w:r>
        <w:t xml:space="preserve">92,0/74,2,</w:t>
      </w:r>
      <w:r>
        <w:t xml:space="preserve"> </w:t>
      </w:r>
      <w:r>
        <w:rPr>
          <w:rStyle w:val="VerbatimChar"/>
        </w:rPr>
        <w:t xml:space="preserve">statistics</w:t>
      </w:r>
      <w:r>
        <w:t xml:space="preserve"> </w:t>
      </w:r>
      <w:r>
        <w:t xml:space="preserve">98,2/89,8,</w:t>
      </w:r>
      <w:r>
        <w:t xml:space="preserve"> </w:t>
      </w:r>
      <w:r>
        <w:rPr>
          <w:rStyle w:val="VerbatimChar"/>
        </w:rPr>
        <w:t xml:space="preserve">player</w:t>
      </w:r>
      <w:r>
        <w:t xml:space="preserve"> </w:t>
      </w:r>
      <w:r>
        <w:t xml:space="preserve">100/70,0,</w:t>
      </w:r>
      <w:r>
        <w:t xml:space="preserve"> </w:t>
      </w:r>
      <w:r>
        <w:rPr>
          <w:rStyle w:val="VerbatimChar"/>
        </w:rPr>
        <w:t xml:space="preserve">ai</w:t>
      </w:r>
      <w:r>
        <w:t xml:space="preserve"> </w:t>
      </w:r>
      <w:r>
        <w:t xml:space="preserve">94,8/72,2,</w:t>
      </w:r>
      <w:r>
        <w:t xml:space="preserve"> </w:t>
      </w:r>
      <w:r>
        <w:rPr>
          <w:rStyle w:val="VerbatimChar"/>
        </w:rPr>
        <w:t xml:space="preserve">common</w:t>
      </w:r>
      <w:r>
        <w:t xml:space="preserve"> </w:t>
      </w:r>
      <w:r>
        <w:t xml:space="preserve">100/75,0. Das Gate (85/70) ist erfüllt.</w:t>
      </w:r>
    </w:p>
    <w:p>
      <w:pPr>
        <w:pStyle w:val="BodyText"/>
      </w:pPr>
      <w:r>
        <w:rPr>
          <w:b/>
          <w:bCs/>
        </w:rPr>
        <w:t xml:space="preserve">Interpretation.</w:t>
      </w:r>
      <w:r>
        <w:br/>
      </w:r>
      <w:r>
        <w:t xml:space="preserve">Abgedeckt ist die fachliche Kernlogik wie Tennis-Zählregeln, Punkt-Attribution/Statistik, Spieler-Regeln und KI-Analyse inkl. Fehlerpfade 502/422/409.</w:t>
      </w:r>
      <w:r>
        <w:br/>
      </w:r>
      <w:r>
        <w:t xml:space="preserve">Die IntegrationTests fahren gegen eine echte PostgreSQL Instanz inkl. Flyway und JWT, der</w:t>
      </w:r>
      <w:r>
        <w:t xml:space="preserve"> </w:t>
      </w:r>
      <w:r>
        <w:rPr>
          <w:rStyle w:val="VerbatimChar"/>
        </w:rPr>
        <w:t xml:space="preserve">ArchitectureTest</w:t>
      </w:r>
      <w:r>
        <w:t xml:space="preserve"> </w:t>
      </w:r>
      <w:r>
        <w:t xml:space="preserve">sichert die Einhaltung der Schichten-/Modulgrenzen.</w:t>
      </w:r>
      <w:r>
        <w:br/>
      </w:r>
      <w:r>
        <w:t xml:space="preserve">Die Branch-Coverage (80 %) liegt erwartungsgemäss unter der Line-Coverage — die offenen Zweige sind überwiegend defensive Pfade (Guards, Mapper-Null-Prüfungen,</w:t>
      </w:r>
      <w:r>
        <w:t xml:space="preserve"> </w:t>
      </w:r>
      <w:r>
        <w:t xml:space="preserve">seltene Scoring-Verzweigungen). Das 70-%-Gate sichert eine Untergrenze, ohne für jeden trivialen Zweig einen Test zu erzwingen.</w:t>
      </w:r>
      <w:r>
        <w:t xml:space="preserve"> </w:t>
      </w:r>
      <w:r>
        <w:t xml:space="preserve">Bewusste Lücken: OpenAI-Happy-Path gegen die echte API (über Fake/WireMock abgebildet; manuelle Verifikation),</w:t>
      </w:r>
      <w:r>
        <w:t xml:space="preserve"> </w:t>
      </w:r>
      <w:r>
        <w:rPr>
          <w:rStyle w:val="VerbatimChar"/>
        </w:rPr>
        <w:t xml:space="preserve">main</w:t>
      </w:r>
      <w:r>
        <w:t xml:space="preserve"> </w:t>
      </w:r>
      <w:r>
        <w:t xml:space="preserve">und reine Config-Klassen.</w:t>
      </w:r>
    </w:p>
    <w:p>
      <w:r>
        <w:pict>
          <v:rect style="width:0;height:1.5pt" o:hralign="center" o:hrstd="t" o:hr="t"/>
        </w:pict>
      </w:r>
    </w:p>
    <w:bookmarkEnd w:id="78"/>
    <w:bookmarkEnd w:id="79"/>
    <w:bookmarkStart w:id="80" w:name="architekturentscheidungen"/>
    <w:p>
      <w:pPr>
        <w:pStyle w:val="Heading2"/>
      </w:pPr>
      <w:r>
        <w:t xml:space="preserve">9. Architekturentscheidungen</w:t>
      </w:r>
    </w:p>
    <w:p>
      <w:pPr>
        <w:pStyle w:val="FirstParagraph"/>
      </w:pPr>
      <w:r>
        <w:t xml:space="preserve">Architecture Decision Records (ADR), jede Entscheidung mit Begründung. Alle Status sind</w:t>
      </w:r>
      <w:r>
        <w:t xml:space="preserve"> </w:t>
      </w:r>
      <w:r>
        <w:rPr>
          <w:b/>
          <w:bCs/>
        </w:rPr>
        <w:t xml:space="preserve">akzeptiert</w:t>
      </w:r>
      <w:r>
        <w:t xml:space="preserve">. Inhaltlich manuell entschieden (siehe §14.2), die KI half nur beim Ausformulieren.</w:t>
      </w:r>
    </w:p>
    <w:p>
      <w:pPr>
        <w:pStyle w:val="BodyText"/>
      </w:pPr>
      <w:r>
        <w:rPr>
          <w:b/>
          <w:bCs/>
        </w:rPr>
        <w:t xml:space="preserve">ADR-01 · Modularer Monolith statt Microservices.</w:t>
      </w:r>
      <w:r>
        <w:t xml:space="preserve"> </w:t>
      </w:r>
      <w:r>
        <w:t xml:space="preserve">V1 ist klein und wird von einem kleinen Team gebaut. Die Microservice-Komplexität (Komplexeres Deployment, Netzwerk-Overhead,</w:t>
      </w:r>
      <w:r>
        <w:t xml:space="preserve"> </w:t>
      </w:r>
      <w:r>
        <w:t xml:space="preserve">Fehlerbehandlung und Recovery bei Ausfall …) ist hier nicht gerechtfertigt. Die Modularisierung als Gradle-Multi-Module erzwingt Modulgrenzen auf Compile-Ebene</w:t>
      </w:r>
      <w:r>
        <w:t xml:space="preserve"> </w:t>
      </w:r>
      <w:r>
        <w:t xml:space="preserve">und erleichtert eine spätere Service-Extraktion.</w:t>
      </w:r>
    </w:p>
    <w:p>
      <w:pPr>
        <w:pStyle w:val="BodyText"/>
      </w:pPr>
      <w:r>
        <w:rPr>
          <w:b/>
          <w:bCs/>
        </w:rPr>
        <w:t xml:space="preserve">ADR-02 · Frontend und Backend in separaten Containern.</w:t>
      </w:r>
      <w:r>
        <w:t xml:space="preserve"> </w:t>
      </w:r>
      <w:r>
        <w:t xml:space="preserve">Angular (via Nginx) und Spring Boot laufen eigenständig; Nginx liefert die statischen Artefakte und proxied</w:t>
      </w:r>
      <w:r>
        <w:t xml:space="preserve"> </w:t>
      </w:r>
      <w:r>
        <w:rPr>
          <w:rStyle w:val="VerbatimChar"/>
        </w:rPr>
        <w:t xml:space="preserve">/api/</w:t>
      </w:r>
      <w:r>
        <w:t xml:space="preserve"> </w:t>
      </w:r>
      <w:r>
        <w:t xml:space="preserve">ans Backend.</w:t>
      </w:r>
      <w:r>
        <w:t xml:space="preserve"> </w:t>
      </w:r>
      <w:r>
        <w:t xml:space="preserve">Ermöglicht unabhängige Skalierung und saubere Separation of Concerns (übliches SPA-+-REST-Muster).</w:t>
      </w:r>
    </w:p>
    <w:p>
      <w:pPr>
        <w:pStyle w:val="BodyText"/>
      </w:pPr>
      <w:r>
        <w:rPr>
          <w:b/>
          <w:bCs/>
        </w:rPr>
        <w:t xml:space="preserve">ADR-03 · Keycloak als Identity Provider.</w:t>
      </w:r>
      <w:r>
        <w:t xml:space="preserve"> </w:t>
      </w:r>
      <w:r>
        <w:t xml:space="preserve">De-facto-Standard für OIDC/OAuth2 mit Out-of-the-box User-Management, Rollen, federated IDPs und Self-Service-Registrierung.</w:t>
      </w:r>
    </w:p>
    <w:p>
      <w:pPr>
        <w:pStyle w:val="BodyText"/>
      </w:pPr>
      <w:r>
        <w:rPr>
          <w:b/>
          <w:bCs/>
        </w:rPr>
        <w:t xml:space="preserve">ADR-04 · PostgreSQL als Datenbank.</w:t>
      </w:r>
      <w:r>
        <w:t xml:space="preserve"> </w:t>
      </w:r>
      <w:r>
        <w:t xml:space="preserve">Bewährte relationale DB mit guter Spring-Integration; das Datenmodell ist klar relational (Player, Match, Set, Point, Stats) — kein NoSQL-Bedarf.</w:t>
      </w:r>
    </w:p>
    <w:p>
      <w:pPr>
        <w:pStyle w:val="BodyText"/>
      </w:pPr>
      <w:r>
        <w:rPr>
          <w:b/>
          <w:bCs/>
        </w:rPr>
        <w:t xml:space="preserve">ADR-05 · REST API als Schnittstellenformat.</w:t>
      </w:r>
      <w:r>
        <w:t xml:space="preserve"> </w:t>
      </w:r>
      <w:r>
        <w:t xml:space="preserve">JSON/REST ist Web-Standard, gut tooling-unterstützt und via OpenAPI/Swagger dokumentierbar. GraphQL würde die Komplexität unnötig erhöhen.</w:t>
      </w:r>
    </w:p>
    <w:p>
      <w:pPr>
        <w:pStyle w:val="BodyText"/>
      </w:pPr>
      <w:r>
        <w:rPr>
          <w:b/>
          <w:bCs/>
        </w:rPr>
        <w:t xml:space="preserve">ADR-06 · Flyway statt Liquibase.</w:t>
      </w:r>
      <w:r>
        <w:t xml:space="preserve"> </w:t>
      </w:r>
      <w:r>
        <w:t xml:space="preserve">Eine PostgreSQL-Instanz, stabiles Schema (6 Kernentitäten): Flyway versioniert plain-SQL ohne XML/YAML-Overhead und ist in Spring Boot auto-konfiguriert.</w:t>
      </w:r>
      <w:r>
        <w:t xml:space="preserve"> </w:t>
      </w:r>
      <w:r>
        <w:t xml:space="preserve">Liquibase-Flexibilität (DB-agnostisch, Rollback-Skripte, Diff) ist nicht nötig (kein DB-Wechsel geplant; Rollbacks via Backup).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w:t>
      </w:r>
    </w:p>
    <w:p>
      <w:pPr>
        <w:pStyle w:val="BodyText"/>
      </w:pPr>
      <w:r>
        <w:rPr>
          <w:b/>
          <w:bCs/>
        </w:rPr>
        <w:t xml:space="preserve">ADR-07 · Gradle Multi-Module statt Spring Modulith.</w:t>
      </w:r>
      <w:r>
        <w:t xml:space="preserve"> </w:t>
      </w:r>
      <w:r>
        <w:t xml:space="preserve">Spring Modulith verworfen, weil es modulübergreifend standardmässig auf Application-Events (asynchron)</w:t>
      </w:r>
      <w:r>
        <w:t xml:space="preserve"> </w:t>
      </w:r>
      <w:r>
        <w:t xml:space="preserve">setzt — unnötige Komplexität für synchrone Antworten. Explizite Application-Layer-Interfaces (Ports &amp; Adapters) bilden die Kommunikation sauberer ab.</w:t>
      </w:r>
      <w:r>
        <w:t xml:space="preserve"> </w:t>
      </w:r>
      <w:r>
        <w:t xml:space="preserve">Gradle-Module erzwingen Grenzen zur Compile-Zeit (unerwünschte Abhängigkeiten = Build-Fehler) und erleichtern spätere Service-Extraktion.</w:t>
      </w:r>
    </w:p>
    <w:p>
      <w:pPr>
        <w:pStyle w:val="BodyText"/>
      </w:pPr>
      <w:r>
        <w:rPr>
          <w:b/>
          <w:bCs/>
        </w:rPr>
        <w:t xml:space="preserve">ADR-08 · Angular Material + ngx-charts als UI-Framework.</w:t>
      </w:r>
      <w:r>
        <w:t xml:space="preserve"> </w:t>
      </w:r>
      <w:r>
        <w:t xml:space="preserve">Nutzer bedienen die App während des Matches auf Tablet/Smartphone. Material liefert out-of-the-box touch-optimierte,</w:t>
      </w:r>
      <w:r>
        <w:t xml:space="preserve"> </w:t>
      </w:r>
      <w:r>
        <w:t xml:space="preserve">responsive Komponenten für schnelle Punkterfassung, ist eng mit Angular verzahnt und kostenfrei. ngx-charts ergänzt die Statistik-Visualisierung (FA-08). Die Alternative PrimeNG</w:t>
      </w:r>
      <w:r>
        <w:t xml:space="preserve"> </w:t>
      </w:r>
      <w:r>
        <w:t xml:space="preserve">wäre für V1 Over-Engineering.</w:t>
      </w:r>
    </w:p>
    <w:p>
      <w:pPr>
        <w:pStyle w:val="BodyText"/>
      </w:pPr>
      <w:r>
        <w:rPr>
          <w:b/>
          <w:bCs/>
        </w:rPr>
        <w:t xml:space="preserve">ADR-09 · angular-oauth2-oidc statt keycloak-angular.</w:t>
      </w:r>
      <w:r>
        <w:t xml:space="preserve"> </w:t>
      </w:r>
      <w:r>
        <w:t xml:space="preserve">Generische, standard-konforme OIDC-Library ohne Keycloak-Coupling im Frontend-Code — ein IDP-Wechsel ändert nur Konfiguration, nicht Code.</w:t>
      </w:r>
      <w:r>
        <w:t xml:space="preserve"> </w:t>
      </w:r>
      <w:r>
        <w:t xml:space="preserve">Schlanker (keine</w:t>
      </w:r>
      <w:r>
        <w:t xml:space="preserve"> </w:t>
      </w:r>
      <w:r>
        <w:rPr>
          <w:rStyle w:val="VerbatimChar"/>
        </w:rPr>
        <w:t xml:space="preserve">keycloak-js</w:t>
      </w:r>
      <w:r>
        <w:t xml:space="preserve">-Abhängigkeit), native PKCE-Unterstützung, aktiv gepflegt. Umsetzung:</w:t>
      </w:r>
      <w:r>
        <w:t xml:space="preserve"> </w:t>
      </w:r>
      <w:r>
        <w:rPr>
          <w:rStyle w:val="VerbatimChar"/>
        </w:rPr>
        <w:t xml:space="preserve">OAuthModuleConfig</w:t>
      </w:r>
      <w:r>
        <w:t xml:space="preserve">, Bearer-Token-Interceptor,</w:t>
      </w:r>
      <w:r>
        <w:t xml:space="preserve"> </w:t>
      </w:r>
      <w:r>
        <w:rPr>
          <w:rStyle w:val="VerbatimChar"/>
        </w:rPr>
        <w:t xml:space="preserve">CanActivateFn</w:t>
      </w:r>
      <w:r>
        <w:t xml:space="preserve">-Guard auf allen Routes.</w:t>
      </w:r>
    </w:p>
    <w:p>
      <w:pPr>
        <w:pStyle w:val="BodyText"/>
      </w:pPr>
      <w:r>
        <w:rPr>
          <w:b/>
          <w:bCs/>
        </w:rPr>
        <w:t xml:space="preserve">ADR-10 · Spring AI mit OpenAI. Provider-Abstraktion via</w:t>
      </w:r>
      <w:r>
        <w:rPr>
          <w:b/>
          <w:bCs/>
        </w:rPr>
        <w:t xml:space="preserve"> </w:t>
      </w:r>
      <w:r>
        <w:rPr>
          <w:rStyle w:val="VerbatimChar"/>
          <w:b/>
          <w:bCs/>
        </w:rPr>
        <w:t xml:space="preserve">LlmClientPort</w:t>
      </w:r>
      <w:r>
        <w:rPr>
          <w:b/>
          <w:bCs/>
        </w:rPr>
        <w:t xml:space="preserve">.</w:t>
      </w:r>
      <w:r>
        <w:t xml:space="preserve"> </w:t>
      </w:r>
      <w:r>
        <w:t xml:space="preserve">Spring AI 2.0.x (Boot-4-kompatibel) liefert mit</w:t>
      </w:r>
      <w:r>
        <w:t xml:space="preserve"> </w:t>
      </w:r>
      <w:r>
        <w:rPr>
          <w:rStyle w:val="VerbatimChar"/>
        </w:rPr>
        <w:t xml:space="preserve">ChatClient.entity(Class)</w:t>
      </w:r>
      <w:r>
        <w:t xml:space="preserve"> </w:t>
      </w:r>
      <w:r>
        <w:t xml:space="preserve">strukturierten JSON-Output</w:t>
      </w:r>
      <w:r>
        <w:t xml:space="preserve"> </w:t>
      </w:r>
      <w:r>
        <w:t xml:space="preserve">statt fragiler Parser. OpenAI als initialer Provider (Default</w:t>
      </w:r>
      <w:r>
        <w:t xml:space="preserve"> </w:t>
      </w:r>
      <w:r>
        <w:rPr>
          <w:rStyle w:val="VerbatimChar"/>
        </w:rPr>
        <w:t xml:space="preserve">gpt-4o-mini</w:t>
      </w:r>
      <w:r>
        <w:t xml:space="preserve">, via Property tauschbar); ein zweiter Adapter (Anthropic, Ollama) ist über den Out-Port</w:t>
      </w:r>
      <w:r>
        <w:t xml:space="preserve"> </w:t>
      </w:r>
      <w:r>
        <w:rPr>
          <w:rStyle w:val="VerbatimChar"/>
        </w:rPr>
        <w:t xml:space="preserve">LlmClientPort</w:t>
      </w:r>
      <w:r>
        <w:t xml:space="preserve"> </w:t>
      </w:r>
      <w:r>
        <w:t xml:space="preserve">ohne Use-Case-Eingriff ergänzbar.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nicht-leeren API-Key, sonst deterministischer</w:t>
      </w:r>
      <w:r>
        <w:t xml:space="preserve"> </w:t>
      </w:r>
      <w:r>
        <w:rPr>
          <w:rStyle w:val="VerbatimChar"/>
        </w:rPr>
        <w:t xml:space="preserve">FakeLlmClientAdapter</w:t>
      </w:r>
      <w:r>
        <w:t xml:space="preserve">.</w:t>
      </w:r>
      <w:r>
        <w:t xml:space="preserve"> </w:t>
      </w:r>
      <w:r>
        <w:t xml:space="preserve">Analyse wird einmal pro Match generiert und persistiert (Kostenkontrolle, Reproduzierbarkeit).</w:t>
      </w:r>
      <w:r>
        <w:t xml:space="preserve"> </w:t>
      </w:r>
      <w:r>
        <w:rPr>
          <w:b/>
          <w:bCs/>
        </w:rPr>
        <w:t xml:space="preserve">Bewusst kein RAG / keine Vektor-DB:</w:t>
      </w:r>
      <w:r>
        <w:t xml:space="preserve"> </w:t>
      </w:r>
      <w:r>
        <w:t xml:space="preserve">der Analyse-Input ist strukturierte</w:t>
      </w:r>
      <w:r>
        <w:t xml:space="preserve"> </w:t>
      </w:r>
      <w:r>
        <w:t xml:space="preserve">Numerik (wenige Dutzend Felder pro Match), passt in einen Prompt-Context; eine Embedding-Schicht wäre Over-Engineering. Für V2 (Head-to-Head über N Matches) wird das neu bewertet.</w:t>
      </w:r>
    </w:p>
    <w:p>
      <w:pPr>
        <w:pStyle w:val="BodyText"/>
      </w:pPr>
      <w:r>
        <w:rPr>
          <w:b/>
          <w:bCs/>
        </w:rPr>
        <w:t xml:space="preserve">ADR-11 · GitHub Actions und aggregiertes JaCoCo-Coverage-Gate.</w:t>
      </w:r>
      <w:r>
        <w:t xml:space="preserve"> </w:t>
      </w:r>
      <w:r>
        <w:t xml:space="preserve">Qualität wird erzwungen, nicht nur empfohlen: Zwei GitHub-Actions-Workflows (Backend und Frontend) laufen bei</w:t>
      </w:r>
      <w:r>
        <w:t xml:space="preserve"> </w:t>
      </w:r>
      <w:r>
        <w:t xml:space="preserve">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und sind als</w:t>
      </w:r>
      <w:r>
        <w:t xml:space="preserve"> </w:t>
      </w:r>
      <w:r>
        <w:rPr>
          <w:i/>
          <w:iCs/>
        </w:rPr>
        <w:t xml:space="preserve">required status checks</w:t>
      </w:r>
      <w:r>
        <w:t xml:space="preserve"> </w:t>
      </w:r>
      <w:r>
        <w:t xml:space="preserve">gesetzt — ohne beide grün kein Merge.</w:t>
      </w:r>
      <w:r>
        <w:t xml:space="preserve"> </w:t>
      </w:r>
      <w:r>
        <w:t xml:space="preserve">Die Backend-Coverage misst JaCoCo modulübergreifend als Summe: Die Integrationstests liegen im</w:t>
      </w:r>
      <w:r>
        <w:t xml:space="preserve"> </w:t>
      </w:r>
      <w:r>
        <w:rPr>
          <w:rStyle w:val="VerbatimChar"/>
        </w:rPr>
        <w:t xml:space="preserve">app</w:t>
      </w:r>
      <w:r>
        <w:t xml:space="preserve">-Modul, decken aber alle Module ab,</w:t>
      </w:r>
      <w:r>
        <w:t xml:space="preserve"> </w:t>
      </w:r>
      <w:r>
        <w:t xml:space="preserve">weshalb ein Gate pro Modul zu niedrig zählen würde. Das Gate hängt in</w:t>
      </w:r>
      <w:r>
        <w:t xml:space="preserve"> </w:t>
      </w:r>
      <w:r>
        <w:rPr>
          <w:rStyle w:val="VerbatimChar"/>
        </w:rPr>
        <w:t xml:space="preserve">check</w:t>
      </w:r>
      <w:r>
        <w:t xml:space="preserve"> </w:t>
      </w:r>
      <w:r>
        <w:t xml:space="preserve">und verlangt</w:t>
      </w:r>
      <w:r>
        <w:t xml:space="preserve"> </w:t>
      </w:r>
      <w:r>
        <w:rPr>
          <w:b/>
          <w:bCs/>
        </w:rPr>
        <w:t xml:space="preserve">85 % Line / 70 % Branch</w:t>
      </w:r>
      <w:r>
        <w:t xml:space="preserve"> </w:t>
      </w:r>
      <w:r>
        <w:t xml:space="preserve">—</w:t>
      </w:r>
      <w:r>
        <w:t xml:space="preserve"> </w:t>
      </w:r>
      <w:r>
        <w:t xml:space="preserve">bewusst knapp unter dem Ist-Stand (~95 % / ~80 %), damit normale Schwankungen den Build nicht brechen. Die Workflows laufen</w:t>
      </w:r>
      <w:r>
        <w:t xml:space="preserve"> </w:t>
      </w:r>
      <w:r>
        <w:t xml:space="preserve">absichtlich</w:t>
      </w:r>
      <w:r>
        <w:t xml:space="preserve"> </w:t>
      </w:r>
      <w:r>
        <w:rPr>
          <w:b/>
          <w:bCs/>
        </w:rPr>
        <w:t xml:space="preserve">ohne Pfadfilter</w:t>
      </w:r>
      <w:r>
        <w:t xml:space="preserve">, da ein</w:t>
      </w:r>
      <w:r>
        <w:t xml:space="preserve"> </w:t>
      </w:r>
      <w:r>
        <w:rPr>
          <w:rStyle w:val="VerbatimChar"/>
        </w:rPr>
        <w:t xml:space="preserve">required Check</w:t>
      </w:r>
      <w:r>
        <w:t xml:space="preserve">, der wegen eines Pfadfilters gar nicht erst startet, den Merge sonst</w:t>
      </w:r>
      <w:r>
        <w:t xml:space="preserve"> </w:t>
      </w:r>
      <w:r>
        <w:t xml:space="preserve">dauerhaft blockieren würde. Damit ein Administrator zur Not auch ohne die</w:t>
      </w:r>
      <w:r>
        <w:t xml:space="preserve"> </w:t>
      </w:r>
      <w:r>
        <w:rPr>
          <w:rStyle w:val="VerbatimChar"/>
        </w:rPr>
        <w:t xml:space="preserve">required Checks</w:t>
      </w:r>
      <w:r>
        <w:t xml:space="preserve"> </w:t>
      </w:r>
      <w:r>
        <w:t xml:space="preserve">einen Merge durchführen kann, bleibt</w:t>
      </w:r>
      <w:r>
        <w:t xml:space="preserve"> </w:t>
      </w:r>
      <w:r>
        <w:rPr>
          <w:rStyle w:val="VerbatimChar"/>
        </w:rPr>
        <w:t xml:space="preserve">enforce_admins</w:t>
      </w:r>
      <w:r>
        <w:t xml:space="preserve"> </w:t>
      </w:r>
      <w:r>
        <w:t xml:space="preserve">auf</w:t>
      </w:r>
      <w:r>
        <w:t xml:space="preserve"> </w:t>
      </w:r>
      <w:r>
        <w:rPr>
          <w:rStyle w:val="VerbatimChar"/>
        </w:rPr>
        <w:t xml:space="preserve">false</w:t>
      </w:r>
      <w:r>
        <w:t xml:space="preserve"> </w:t>
      </w:r>
      <w:r>
        <w:t xml:space="preserve">gesetzt.</w:t>
      </w:r>
    </w:p>
    <w:p>
      <w:pPr>
        <w:pStyle w:val="BodyText"/>
      </w:pPr>
      <w:r>
        <w:rPr>
          <w:b/>
          <w:bCs/>
        </w:rPr>
        <w:t xml:space="preserve">ADR-12 · Scoring im</w:t>
      </w:r>
      <w:r>
        <w:rPr>
          <w:b/>
          <w:bCs/>
        </w:rPr>
        <w:t xml:space="preserve"> </w:t>
      </w:r>
      <w:r>
        <w:rPr>
          <w:rStyle w:val="VerbatimChar"/>
          <w:b/>
          <w:bCs/>
        </w:rPr>
        <w:t xml:space="preserve">match-module</w:t>
      </w:r>
      <w:r>
        <w:rPr>
          <w:b/>
          <w:bCs/>
        </w:rPr>
        <w:t xml:space="preserve"> </w:t>
      </w:r>
      <w:r>
        <w:rPr>
          <w:b/>
          <w:bCs/>
        </w:rPr>
        <w:t xml:space="preserve">statt eigenem</w:t>
      </w:r>
      <w:r>
        <w:rPr>
          <w:b/>
          <w:bCs/>
        </w:rPr>
        <w:t xml:space="preserve"> </w:t>
      </w:r>
      <w:r>
        <w:rPr>
          <w:rStyle w:val="VerbatimChar"/>
          <w:b/>
          <w:bCs/>
        </w:rPr>
        <w:t xml:space="preserve">scoring-module</w:t>
      </w:r>
      <w:r>
        <w:rPr>
          <w:b/>
          <w:bCs/>
        </w:rPr>
        <w:t xml:space="preserve">.</w:t>
      </w:r>
      <w:r>
        <w:t xml:space="preserve"> </w:t>
      </w:r>
      <w:r>
        <w:t xml:space="preserve">Bei der Umsetzung konsolidiert: Punkte erfassen/zählen ist das</w:t>
      </w:r>
      <w:r>
        <w:t xml:space="preserve"> </w:t>
      </w:r>
      <w:r>
        <w:rPr>
          <w:b/>
          <w:bCs/>
        </w:rPr>
        <w:t xml:space="preserve">Kernverhalten</w:t>
      </w:r>
      <w:r>
        <w:t xml:space="preserve"> </w:t>
      </w:r>
      <w:r>
        <w:t xml:space="preserve">eines Matches und operiert untrennbar auf dessen Zustand — eine Modulgrenze hätte feingranularen Port-Verkehr ohne fachlichen Mehrwert erzwungen.</w:t>
      </w:r>
      <w:r>
        <w:t xml:space="preserve"> </w:t>
      </w:r>
      <w:r>
        <w:t xml:space="preserve">Scoring bleibt intern als</w:t>
      </w:r>
      <w:r>
        <w:t xml:space="preserve"> </w:t>
      </w:r>
      <w:r>
        <w:rPr>
          <w:rStyle w:val="VerbatimChar"/>
        </w:rPr>
        <w:t xml:space="preserve">ScoringService</w:t>
      </w:r>
      <w:r>
        <w:t xml:space="preserve"> </w:t>
      </w:r>
      <w:r>
        <w:t xml:space="preserve">gekapselt (spätere Extraktion möglich).</w:t>
      </w:r>
    </w:p>
    <w:p>
      <w:pPr>
        <w:pStyle w:val="BodyText"/>
      </w:pPr>
      <w:r>
        <w:rPr>
          <w:b/>
          <w:bCs/>
        </w:rPr>
        <w:t xml:space="preserve">ADR-13 · Gemeinsames lesendes Domänenmodell statt DTO-Mapping an jeder Grenze.</w:t>
      </w:r>
      <w:r>
        <w:t xml:space="preserve"> </w:t>
      </w:r>
      <w:r>
        <w:t xml:space="preserve">Module rufen fremdes Verhalten nur über Ports auf (RB-T06),</w:t>
      </w:r>
      <w:r>
        <w:t xml:space="preserve"> </w:t>
      </w:r>
      <w:r>
        <w:t xml:space="preserve">verwenden aber stabile Domänen-Wertobjekte direkt als Read-Model (z. B. liest</w:t>
      </w:r>
      <w:r>
        <w:t xml:space="preserve"> </w:t>
      </w:r>
      <w:r>
        <w:rPr>
          <w:rStyle w:val="VerbatimChar"/>
        </w:rPr>
        <w:t xml:space="preserve">statistics-module</w:t>
      </w:r>
      <w:r>
        <w:t xml:space="preserve"> </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w:t>
      </w:r>
      <w:r>
        <w:t xml:space="preserve"> </w:t>
      </w:r>
      <w:r>
        <w:t xml:space="preserve">Diese Typen sind framework-frei und stabil. Spiegel-DTOs an jeder Grenze wären für einen Monolithen Over-Engineering und Duplikation.</w:t>
      </w:r>
      <w:r>
        <w:t xml:space="preserve"> </w:t>
      </w:r>
      <w:r>
        <w:t xml:space="preserve">Abhängigkeiten bleiben einwärts gerichtet und zyklenfrei (</w:t>
      </w:r>
      <w:r>
        <w:rPr>
          <w:rStyle w:val="VerbatimChar"/>
        </w:rPr>
        <w:t xml:space="preserve">ArchitectureTest</w:t>
      </w:r>
      <w:r>
        <w:t xml:space="preserve">). Bei späterer Service-Extraktion werden sie zu Vertragstypen/DTOs.</w:t>
      </w:r>
    </w:p>
    <w:p>
      <w:pPr>
        <w:pStyle w:val="BodyText"/>
      </w:pPr>
      <w:r>
        <w:rPr>
          <w:b/>
          <w:bCs/>
        </w:rPr>
        <w:t xml:space="preserve">ADR-14 · Versionierung nach SemVer 2.0.0, Changelog nach „Keep a Changelog” 1.1.0.</w:t>
      </w:r>
      <w:r>
        <w:t xml:space="preserve"> </w:t>
      </w:r>
      <w:r>
        <w:t xml:space="preserve">Beide sind der De-facto-Standard im Java- und JS-Ökosystem.</w:t>
      </w:r>
      <w:r>
        <w:t xml:space="preserve"> </w:t>
      </w:r>
      <w:r>
        <w:t xml:space="preserve">Solange die Version bei</w:t>
      </w:r>
      <w:r>
        <w:t xml:space="preserve"> </w:t>
      </w:r>
      <w:r>
        <w:rPr>
          <w:rStyle w:val="VerbatimChar"/>
        </w:rPr>
        <w:t xml:space="preserve">0.x</w:t>
      </w:r>
      <w:r>
        <w:t xml:space="preserve"> </w:t>
      </w:r>
      <w:r>
        <w:t xml:space="preserve">steht, gilt bereits eine MINOR-Erhöhung als potenziell breaking — das passt zum MVP, dessen Datenmodell und API noch in Bewegung sind.</w:t>
      </w:r>
      <w:r>
        <w:t xml:space="preserve"> </w:t>
      </w:r>
      <w:r>
        <w:t xml:space="preserve">Ab</w:t>
      </w:r>
      <w:r>
        <w:t xml:space="preserve"> </w:t>
      </w:r>
      <w:r>
        <w:rPr>
          <w:rStyle w:val="VerbatimChar"/>
        </w:rPr>
        <w:t xml:space="preserve">1.0.0</w:t>
      </w:r>
      <w:r>
        <w:t xml:space="preserve"> </w:t>
      </w:r>
      <w:r>
        <w:t xml:space="preserve">greifen die strengen SemVer-Regeln (breaking changes nur bei einer MAJOR-Erhöhung). Die Änderungen werden in</w:t>
      </w:r>
      <w:r>
        <w:t xml:space="preserve"> </w:t>
      </w:r>
      <w:r>
        <w:rPr>
          <w:rStyle w:val="VerbatimChar"/>
        </w:rPr>
        <w:t xml:space="preserve">CHANGELOG.md</w:t>
      </w:r>
      <w:r>
        <w:t xml:space="preserve"> </w:t>
      </w:r>
      <w:r>
        <w:t xml:space="preserve">gepflegt.</w:t>
      </w:r>
      <w:r>
        <w:t xml:space="preserve"> </w:t>
      </w:r>
      <w:r>
        <w:t xml:space="preserve">Ein Sammelabschnitt</w:t>
      </w:r>
      <w:r>
        <w:t xml:space="preserve"> </w:t>
      </w:r>
      <w:r>
        <w:rPr>
          <w:rStyle w:val="VerbatimChar"/>
        </w:rPr>
        <w:t xml:space="preserve">[Unreleased]</w:t>
      </w:r>
      <w:r>
        <w:t xml:space="preserve"> </w:t>
      </w:r>
      <w:r>
        <w:t xml:space="preserve">nimmt laufend neue Einträge auf, geordnet nach den Kategorien Added/Changed/Deprecated/Removed/Fixed/Security.</w:t>
      </w:r>
      <w:r>
        <w:t xml:space="preserve"> </w:t>
      </w:r>
      <w:r>
        <w:t xml:space="preserve">Der Changelog wird vorerst bewusst von Hand statt automatisiert geführt — Werkzeuge wie release-please wären für ein Ein-Personen-MVP Over-Engineering.</w:t>
      </w:r>
      <w:r>
        <w:t xml:space="preserve"> </w:t>
      </w:r>
      <w:r>
        <w:t xml:space="preserve">Jede Version wird als Git-Tag</w:t>
      </w:r>
      <w:r>
        <w:t xml:space="preserve"> </w:t>
      </w:r>
      <w:r>
        <w:rPr>
          <w:rStyle w:val="VerbatimChar"/>
        </w:rPr>
        <w:t xml:space="preserve">vX.Y.Z</w:t>
      </w:r>
      <w:r>
        <w:t xml:space="preserve"> </w:t>
      </w:r>
      <w:r>
        <w:t xml:space="preserve">markiert.</w:t>
      </w:r>
    </w:p>
    <w:p>
      <w:pPr>
        <w:pStyle w:val="BodyText"/>
      </w:pPr>
      <w:r>
        <w:rPr>
          <w:b/>
          <w:bCs/>
        </w:rPr>
        <w:t xml:space="preserve">ADR-15 · Nginx als Laufzeit-Server der SPA (kein Node).</w:t>
      </w:r>
      <w:r>
        <w:t xml:space="preserve"> </w:t>
      </w:r>
      <w:r>
        <w:rPr>
          <w:rStyle w:val="VerbatimChar"/>
        </w:rPr>
        <w:t xml:space="preserve">ng build</w:t>
      </w:r>
      <w:r>
        <w:t xml:space="preserve"> </w:t>
      </w:r>
      <w:r>
        <w:t xml:space="preserve">erzeugt rein statische Artefakte — Node.js ist nur Build-/Testwerkzeug</w:t>
      </w:r>
      <w:r>
        <w:t xml:space="preserve"> </w:t>
      </w:r>
      <w:r>
        <w:t xml:space="preserve">(CI, Dockerfile-Build-Stage,</w:t>
      </w:r>
      <w:r>
        <w:t xml:space="preserve"> </w:t>
      </w:r>
      <w:r>
        <w:rPr>
          <w:rStyle w:val="VerbatimChar"/>
        </w:rPr>
        <w:t xml:space="preserve">ng serve</w:t>
      </w:r>
      <w:r>
        <w:t xml:space="preserve">), nicht Laufzeit. Ein Multi-Stage-Build liefert das finale Image auf</w:t>
      </w:r>
      <w:r>
        <w:t xml:space="preserve"> </w:t>
      </w:r>
      <w:r>
        <w:rPr>
          <w:rStyle w:val="VerbatimChar"/>
        </w:rPr>
        <w:t xml:space="preserve">nginx-unprivileged:alpine</w:t>
      </w:r>
      <w:r>
        <w:t xml:space="preserve"> </w:t>
      </w:r>
      <w:r>
        <w:t xml:space="preserve">(kein Node im Image → kleine Angriffsfläche,</w:t>
      </w:r>
      <w:r>
        <w:t xml:space="preserve"> </w:t>
      </w:r>
      <w:r>
        <w:rPr>
          <w:rStyle w:val="VerbatimChar"/>
        </w:rPr>
        <w:t xml:space="preserve">mem_limit: 128m</w:t>
      </w:r>
      <w:r>
        <w:t xml:space="preserve">, non-root UID 101,</w:t>
      </w:r>
      <w:r>
        <w:t xml:space="preserve"> </w:t>
      </w:r>
      <w:r>
        <w:rPr>
          <w:rStyle w:val="VerbatimChar"/>
        </w:rPr>
        <w:t xml:space="preserve">read_only</w:t>
      </w:r>
      <w:r>
        <w:t xml:space="preserve">). Nginx übernimmt zugleich TLS-Terminierung und</w:t>
      </w:r>
      <w:r>
        <w:t xml:space="preserve"> </w:t>
      </w:r>
      <w:r>
        <w:t xml:space="preserve">HTTP→HTTPS-Redirect (</w:t>
      </w:r>
      <w:r>
        <w:rPr>
          <w:rStyle w:val="VerbatimChar"/>
        </w:rPr>
        <w:t xml:space="preserve">nginx.prod.conf</w:t>
      </w:r>
      <w:r>
        <w:t xml:space="preserve">), Reverse-Proxy</w:t>
      </w:r>
      <w:r>
        <w:t xml:space="preserve"> </w:t>
      </w:r>
      <w:r>
        <w:rPr>
          <w:rStyle w:val="VerbatimChar"/>
        </w:rPr>
        <w:t xml:space="preserve">/api/</w:t>
      </w:r>
      <w:r>
        <w:t xml:space="preserve"> </w:t>
      </w:r>
      <w:r>
        <w:t xml:space="preserve">ans Backend (eine Origin → kein CORS, Backend ohne öffentlichen Port), Security-Header</w:t>
      </w:r>
      <w:r>
        <w:t xml:space="preserve"> </w:t>
      </w:r>
      <w:r>
        <w:t xml:space="preserve">(CSP/HSTS/…) und Per-IP-Rate-Limit auf den KI-Endpoint sowie SPA-Fallback (</w:t>
      </w:r>
      <w:r>
        <w:rPr>
          <w:rStyle w:val="VerbatimChar"/>
        </w:rPr>
        <w:t xml:space="preserve">try_files … /index.html</w:t>
      </w:r>
      <w:r>
        <w:t xml:space="preserve">) für Deep-Links. Ein Node-Runtime-Server wäre</w:t>
      </w:r>
      <w:r>
        <w:t xml:space="preserve"> </w:t>
      </w:r>
      <w:r>
        <w:t xml:space="preserve">nur bei SSR/Angular Universal nötig — für die reine Client-SPA Over-Engineering. Ergänzt die Container-Trennung aus ADR-02.</w:t>
      </w:r>
    </w:p>
    <w:p>
      <w:pPr>
        <w:pStyle w:val="BodyText"/>
      </w:pPr>
      <w:r>
        <w:rPr>
          <w:b/>
          <w:bCs/>
        </w:rPr>
        <w:t xml:space="preserve">ADR-16 · MailHog als SMTP-Sink im Dev, echter Provider erst in Prod.</w:t>
      </w:r>
      <w:r>
        <w:t xml:space="preserve"> </w:t>
      </w:r>
      <w:r>
        <w:t xml:space="preserve">Keycloak versendet Verifizierungs-/Passwort-Mails (verifyEmail, §7.1.3).</w:t>
      </w:r>
      <w:r>
        <w:t xml:space="preserve"> </w:t>
      </w:r>
      <w:r>
        <w:t xml:space="preserve">Im Dev fängt der Container</w:t>
      </w:r>
      <w:r>
        <w:t xml:space="preserve"> </w:t>
      </w:r>
      <w:r>
        <w:rPr>
          <w:rStyle w:val="VerbatimChar"/>
        </w:rPr>
        <w:t xml:space="preserve">mailhog</w:t>
      </w:r>
      <w:r>
        <w:t xml:space="preserve"> </w:t>
      </w:r>
      <w:r>
        <w:t xml:space="preserve">allen SMTP-Verkehr ab (</w:t>
      </w:r>
      <w:r>
        <w:rPr>
          <w:rStyle w:val="VerbatimChar"/>
        </w:rPr>
        <w:t xml:space="preserve">:1025</w:t>
      </w:r>
      <w:r>
        <w:t xml:space="preserve"> </w:t>
      </w:r>
      <w:r>
        <w:t xml:space="preserve">SMTP,</w:t>
      </w:r>
      <w:r>
        <w:t xml:space="preserve"> </w:t>
      </w:r>
      <w:r>
        <w:rPr>
          <w:rStyle w:val="VerbatimChar"/>
        </w:rPr>
        <w:t xml:space="preserve">:8025</w:t>
      </w:r>
      <w:r>
        <w:t xml:space="preserve"> </w:t>
      </w:r>
      <w:r>
        <w:t xml:space="preserve">Web-UI) statt real zuzustellen, so ist kein Provider-Account/API-Key/Domain-Setup</w:t>
      </w:r>
      <w:r>
        <w:t xml:space="preserve"> </w:t>
      </w:r>
      <w:r>
        <w:t xml:space="preserve">für die Entwicklung nötig, keine Zustellkosten, keine versehentlichen Mails an echte Adressen, jede Test-Mail ist sofort in der Web-UI einsehbar.</w:t>
      </w:r>
      <w:r>
        <w:t xml:space="preserve"> </w:t>
      </w:r>
      <w:r>
        <w:t xml:space="preserve">Ein transaktionaler Dienst (Mailgun/SendGrid) wäre im Dev Over-Engineering. In Produktion wird MailHog durch einen echten SMTP-Server ersetzt.</w:t>
      </w:r>
      <w:r>
        <w:t xml:space="preserve"> </w:t>
      </w:r>
      <w:r>
        <w:t xml:space="preserve">Die Keycloak-Konfiguration bleibt dabei unverändert, nur die</w:t>
      </w:r>
      <w:r>
        <w:t xml:space="preserve"> </w:t>
      </w:r>
      <w:r>
        <w:rPr>
          <w:rStyle w:val="VerbatimChar"/>
        </w:rPr>
        <w:t xml:space="preserve">${KC_SMTP_*}</w:t>
      </w:r>
      <w:r>
        <w:t xml:space="preserve">-Umgebungsvariablen werden mit echten Werten belegt. Das Compose-Overlay</w:t>
      </w:r>
      <w:r>
        <w:t xml:space="preserve"> </w:t>
      </w:r>
      <w:r>
        <w:rPr>
          <w:rStyle w:val="VerbatimChar"/>
        </w:rPr>
        <w:t xml:space="preserve">compose.prod.yml</w:t>
      </w:r>
      <w:r>
        <w:t xml:space="preserve"> </w:t>
      </w:r>
      <w:r>
        <w:t xml:space="preserve">entfernt zusätzlich den MailHog-Dienst (</w:t>
      </w:r>
      <w:r>
        <w:rPr>
          <w:rStyle w:val="VerbatimChar"/>
        </w:rPr>
        <w:t xml:space="preserve">mailhog: !reset null</w:t>
      </w:r>
      <w:r>
        <w:t xml:space="preserve">). Damit ist die Randbedingung RB-T07 umgesetzt.</w:t>
      </w:r>
    </w:p>
    <w:p>
      <w:r>
        <w:pict>
          <v:rect style="width:0;height:1.5pt" o:hralign="center" o:hrstd="t" o:hr="t"/>
        </w:pict>
      </w:r>
    </w:p>
    <w:bookmarkEnd w:id="80"/>
    <w:bookmarkStart w:id="84" w:name="qualitätsanforderungen"/>
    <w:p>
      <w:pPr>
        <w:pStyle w:val="Heading2"/>
      </w:pPr>
      <w:r>
        <w:t xml:space="preserve">10. Qualitätsanforderungen</w:t>
      </w:r>
    </w:p>
    <w:bookmarkStart w:id="81" w:name="funktionale-anforderungen-smart"/>
    <w:p>
      <w:pPr>
        <w:pStyle w:val="Heading3"/>
      </w:pPr>
      <w:r>
        <w:t xml:space="preserve">10.1 Funktionale Anforderungen (SMART)</w:t>
      </w:r>
    </w:p>
    <w:p>
      <w:pPr>
        <w:pStyle w:val="FirstParagraph"/>
      </w:pPr>
      <w:r>
        <w:t xml:space="preserve">Antwortzeit-Ziele sind übergreifend in §1.2 (QZ-03/04/06) und §10.2 (NFA-01) festgelegt (Write ≤ 250 ms, Read ≤ 500 ms, KI ≤ 60 s) und werden unten nicht je FA wiederholt.</w:t>
      </w:r>
    </w:p>
    <w:tbl>
      <w:tblPr>
        <w:tblStyle w:val="Table"/>
        <w:tblW w:type="pct" w:w="5000"/>
        <w:tblLayout w:type="fixed"/>
        <w:tblLook w:firstRow="1" w:lastRow="0" w:firstColumn="0" w:lastColumn="0" w:noHBand="0" w:noVBand="0" w:val="0020"/>
      </w:tblPr>
      <w:tblGrid>
        <w:gridCol w:w="597"/>
        <w:gridCol w:w="1942"/>
        <w:gridCol w:w="4034"/>
        <w:gridCol w:w="134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 (Kurz)</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Keycloak-Self-Service mit E-Mail (RFC 5322), Benutzername (3–50) und Passwort (≥ 8, ≥ 1 Grossbuchstabe + 1 Ziffer). Danach automatisch authentifiziert und auf die Startseite weitergeleitet. Doppelte E-Mail/Username → Fehlermeldung (intern 409).</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OAuth2 Authorization Code mit PKCE über Keycloak. Access-Token (15 min), Refresh-Token (30 Tage). Mit gültigem Token alle geschützten Endpunkte → 200; ohne → 401 (ausser dem öffentlichen Health-Check).</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Erfasst einen neuen Spieler. Pflichtfelder Vor-/Nachname (≤ 50), Geschlecht, Spielhand, Backhand-Typ. Optional: Ranking (&gt; 0), Nationalität (ISO 3166-1 α-2), Geburtsdatum (ISO 8601). Erfolg → 201 mit UUID; Formatfehler → 400 (Feld + Grund).</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Sucht einen Spieler. Mindestens ein Suchparameter ist erforderlich (sonst 400). Paginierte Liste (max. 50/Seite, Nachname aufsteigend); keine Treffer → leere Liste (200).</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Erstellt einen neuen Match. Pflichtfelder</w:t>
            </w:r>
            <w:r>
              <w:t xml:space="preserve"> </w:t>
            </w:r>
            <w:r>
              <w:rPr>
                <w:rStyle w:val="VerbatimChar"/>
              </w:rPr>
              <w:t xml:space="preserve">player1Id</w:t>
            </w:r>
            <w:r>
              <w:t xml:space="preserve">/</w:t>
            </w:r>
            <w:r>
              <w:rPr>
                <w:rStyle w:val="VerbatimChar"/>
              </w:rPr>
              <w:t xml:space="preserve">player2Id</w:t>
            </w:r>
            <w:r>
              <w:t xml:space="preserve"> </w:t>
            </w:r>
            <w:r>
              <w:t xml:space="preserve">(müssen existieren, sonst 404),</w:t>
            </w:r>
            <w:r>
              <w:t xml:space="preserve"> </w:t>
            </w:r>
            <w:r>
              <w:rPr>
                <w:rStyle w:val="VerbatimChar"/>
              </w:rPr>
              <w:t xml:space="preserve">setsToWin</w:t>
            </w:r>
            <w:r>
              <w:t xml:space="preserve"> </w:t>
            </w:r>
            <w:r>
              <w:t xml:space="preserve">(2/3),</w:t>
            </w:r>
            <w:r>
              <w:t xml:space="preserve"> </w:t>
            </w:r>
            <w:r>
              <w:rPr>
                <w:rStyle w:val="VerbatimChar"/>
              </w:rPr>
              <w:t xml:space="preserve">matchTiebreak</w:t>
            </w:r>
            <w:r>
              <w:t xml:space="preserve">,</w:t>
            </w:r>
            <w:r>
              <w:t xml:space="preserve"> </w:t>
            </w:r>
            <w:r>
              <w:rPr>
                <w:rStyle w:val="VerbatimChar"/>
              </w:rPr>
              <w:t xml:space="preserve">shortSet</w:t>
            </w:r>
            <w:r>
              <w:t xml:space="preserve">. Erfolg → 201 mit UUID, Status</w:t>
            </w:r>
            <w:r>
              <w:t xml:space="preserve"> </w:t>
            </w:r>
            <w:r>
              <w:rPr>
                <w:rStyle w:val="VerbatimChar"/>
              </w:rPr>
              <w:t xml:space="preserve">IN_PROGRESS</w:t>
            </w:r>
            <w:r>
              <w:t xml:space="preserve">.</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Erfasst einen Punkt in einem laufenden Match (</w:t>
            </w:r>
            <w:r>
              <w:rPr>
                <w:rStyle w:val="VerbatimChar"/>
              </w:rPr>
              <w:t xml:space="preserve">IN_PROGRESS</w:t>
            </w:r>
            <w:r>
              <w:t xml:space="preserve">). Pflicht ist nur</w:t>
            </w:r>
            <w:r>
              <w:t xml:space="preserve"> </w:t>
            </w:r>
            <w:r>
              <w:rPr>
                <w:rStyle w:val="VerbatimChar"/>
              </w:rPr>
              <w:t xml:space="preserve">winner</w:t>
            </w:r>
            <w:r>
              <w:t xml:space="preserve"> </w:t>
            </w:r>
            <w:r>
              <w:t xml:space="preserve">(1/2). Optional: die typisierten Attribute</w:t>
            </w:r>
            <w:r>
              <w:t xml:space="preserve"> </w:t>
            </w:r>
            <w:r>
              <w:rPr>
                <w:rStyle w:val="VerbatimChar"/>
              </w:rPr>
              <w:t xml:space="preserve">pointType</w:t>
            </w:r>
            <w:r>
              <w:t xml:space="preserve">,</w:t>
            </w:r>
            <w:r>
              <w:t xml:space="preserve"> </w:t>
            </w:r>
            <w:r>
              <w:rPr>
                <w:rStyle w:val="VerbatimChar"/>
              </w:rPr>
              <w:t xml:space="preserve">strokeType</w:t>
            </w:r>
            <w:r>
              <w:t xml:space="preserve">,</w:t>
            </w:r>
            <w:r>
              <w:t xml:space="preserve"> </w:t>
            </w:r>
            <w:r>
              <w:rPr>
                <w:rStyle w:val="VerbatimChar"/>
              </w:rPr>
              <w:t xml:space="preserve">direction</w:t>
            </w:r>
            <w:r>
              <w:t xml:space="preserve"> </w:t>
            </w:r>
            <w:r>
              <w:t xml:space="preserve">(ohne Attribut = „Quick-Point“),</w:t>
            </w:r>
            <w:r>
              <w:t xml:space="preserve"> </w:t>
            </w:r>
            <w:r>
              <w:rPr>
                <w:rStyle w:val="VerbatimChar"/>
              </w:rPr>
              <w:t xml:space="preserve">remark</w:t>
            </w:r>
            <w:r>
              <w:t xml:space="preserve"> </w:t>
            </w:r>
            <w:r>
              <w:t xml:space="preserve">(≤ 500) und</w:t>
            </w:r>
            <w:r>
              <w:t xml:space="preserve"> </w:t>
            </w:r>
            <w:r>
              <w:rPr>
                <w:rStyle w:val="VerbatimChar"/>
              </w:rPr>
              <w:t xml:space="preserve">serveAttempt</w:t>
            </w:r>
            <w:r>
              <w:t xml:space="preserve"> </w:t>
            </w:r>
            <w:r>
              <w:t xml:space="preserve">(1/2). Erfolg → 201 mit aktualisiertem Spielstand; fehlendes</w:t>
            </w:r>
            <w:r>
              <w:t xml:space="preserve"> </w:t>
            </w:r>
            <w:r>
              <w:rPr>
                <w:rStyle w:val="VerbatimChar"/>
              </w:rPr>
              <w:t xml:space="preserve">winner</w:t>
            </w:r>
            <w:r>
              <w:t xml:space="preserve"> </w:t>
            </w:r>
            <w:r>
              <w:t xml:space="preserve">oder ungültige Enum-Werte → 400.</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Jede Punkt-Antwort enthält den vollständig berechneten Stand: Game-Punkte (0/15/30/40/Vorteil/Tiebreak), Games je Satz, Sätze. Einstand/Vorteile/Tiebreak gemäss</w:t>
            </w:r>
            <w:r>
              <w:t xml:space="preserve"> </w:t>
            </w:r>
            <w:r>
              <w:rPr>
                <w:b/>
                <w:bCs/>
              </w:rPr>
              <w:t xml:space="preserve">ITF-Regelwerk</w:t>
            </w:r>
            <w:r>
              <w:t xml:space="preserve">.</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Head-to-Head-Statistik zweier Spieler. Je Spieler: Aufschlag (First/Second Serve Won%, Aces, DF), Return (Return Points Won% 1./2., Break Points Won%, Return Games Won%), Rallye (Winners%, UE%), Match-Bilanz (Siege/Niederlagen, Satzbilanz). Bilanz nur aus abgeschlossenen Matches; unbekannte ID → 404.</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Keycloak-Federation „Mit Google anmelden“; erster Login legt automatisch ein TSaS-Konto mit verifizierter Google-E-Mail an. Gleiche Rechte wie lokal registriert.</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Touch/Klick auf massstabsgetreue Feld-Darstellung (23,77 × 10,97 m); normalisierte X/Y als Optionalfeld im Punkt. Marker-Feedback ≤ 100 ms.</w:t>
            </w:r>
          </w:p>
        </w:tc>
        <w:tc>
          <w:tcPr/>
          <w:p>
            <w:pPr>
              <w:pStyle w:val="Compact"/>
            </w:pPr>
            <w:r>
              <w:t xml:space="preserve">V3</w:t>
            </w:r>
          </w:p>
        </w:tc>
      </w:tr>
      <w:tr>
        <w:tc>
          <w:tcPr/>
          <w:p>
            <w:pPr>
              <w:pStyle w:val="Compact"/>
            </w:pPr>
            <w:r>
              <w:t xml:space="preserve">FA-11</w:t>
            </w:r>
          </w:p>
        </w:tc>
        <w:tc>
          <w:tcPr/>
          <w:p>
            <w:pPr>
              <w:pStyle w:val="Compact"/>
            </w:pPr>
            <w:r>
              <w:rPr>
                <w:b/>
                <w:bCs/>
              </w:rPr>
              <w:t xml:space="preserve">KI-Match-Analyse (Postmortem)</w:t>
            </w:r>
          </w:p>
        </w:tc>
        <w:tc>
          <w:tcPr/>
          <w:p>
            <w:pPr>
              <w:pStyle w:val="Compact"/>
            </w:pPr>
            <w:r>
              <w:t xml:space="preserve">KI-Postmortem für ein abgeschlossenes Match (</w:t>
            </w:r>
            <w:r>
              <w:rPr>
                <w:rStyle w:val="VerbatimChar"/>
              </w:rPr>
              <w:t xml:space="preserve">COMPLETED</w:t>
            </w:r>
            <w:r>
              <w:t xml:space="preserve">, ≥ 10 Punkte). Prompt aus Statistiken + Spielermetadaten + Coach-Notizen (FA-22), LLM via Spring AI. Antwort: 5 Textfelder (Schlüsselmomente, eigene/gegnerische Stärken/Schwächen) + 3–5 priorisierte Empfehlungen; persistiert (1:1, überschreibbar). Codes: 200/404/409 (nicht</w:t>
            </w:r>
            <w:r>
              <w:t xml:space="preserve"> </w:t>
            </w:r>
            <w:r>
              <w:rPr>
                <w:rStyle w:val="VerbatimChar"/>
              </w:rPr>
              <w:t xml:space="preserve">COMPLETED</w:t>
            </w:r>
            <w:r>
              <w:t xml:space="preserve">)/422 (&lt; 10)/502 (LLM-Fehler →</w:t>
            </w:r>
            <w:r>
              <w:t xml:space="preserve"> </w:t>
            </w:r>
            <w:r>
              <w:rPr>
                <w:rStyle w:val="VerbatimChar"/>
              </w:rPr>
              <w:t xml:space="preserve">FAILED</w:t>
            </w:r>
            <w:r>
              <w:t xml:space="preserve"> </w:t>
            </w:r>
            <w:r>
              <w:t xml:space="preserve">persistiert). Erneutes Lesen liefert die gespeicherte Analyse ohne LLM-Aufruf. Sprache Deutsch.</w:t>
            </w:r>
            <w:r>
              <w:t xml:space="preserve"> </w:t>
            </w:r>
            <w:r>
              <w:rPr>
                <w:b/>
                <w:bCs/>
              </w:rPr>
              <w:t xml:space="preserve">HITL:</w:t>
            </w:r>
            <w:r>
              <w:t xml:space="preserve"> </w:t>
            </w:r>
            <w:r>
              <w:t xml:space="preserve">je Empfehlung Status</w:t>
            </w:r>
            <w:r>
              <w:t xml:space="preserve"> </w:t>
            </w:r>
            <w:r>
              <w:rPr>
                <w:rStyle w:val="VerbatimChar"/>
              </w:rPr>
              <w:t xml:space="preserve">OPEN/ACCEPTED/REJECTED</w:t>
            </w:r>
            <w:r>
              <w:t xml:space="preserve"> </w:t>
            </w:r>
            <w:r>
              <w:t xml:space="preserve">setzbar (+ Begründung ≤ 500); Codes 200/400/404/409. Neu-Generieren setzt den Review zurück.</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Aktualisiert einen Spieler (Felder wie FA-03). Erfolg → 200 mit Ressource (inkl.</w:t>
            </w:r>
            <w:r>
              <w:t xml:space="preserve"> </w:t>
            </w:r>
            <w:r>
              <w:rPr>
                <w:rStyle w:val="VerbatimChar"/>
              </w:rPr>
              <w:t xml:space="preserve">deletable</w:t>
            </w:r>
            <w:r>
              <w:t xml:space="preserve">, ggf.</w:t>
            </w:r>
            <w:r>
              <w:t xml:space="preserve"> </w:t>
            </w:r>
            <w:r>
              <w:rPr>
                <w:rStyle w:val="VerbatimChar"/>
              </w:rPr>
              <w:t xml:space="preserve">activeMatchId</w:t>
            </w:r>
            <w:r>
              <w:t xml:space="preserve">); unbekannt → 404, Formatfehler → 400.</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Löscht einen Spieler → 204; ist er an einem Match beteiligt → 409 (Historieschutz), stattdessen Deaktivieren (Soft-Delete</w:t>
            </w:r>
            <w:r>
              <w:t xml:space="preserve"> </w:t>
            </w:r>
            <w:r>
              <w:rPr>
                <w:rStyle w:val="VerbatimChar"/>
              </w:rPr>
              <w:t xml:space="preserve">active=false</w:t>
            </w:r>
            <w:r>
              <w:t xml:space="preserve"> </w:t>
            </w:r>
            <w:r>
              <w:t xml:space="preserve">→ 204). Unbekannt → 404.</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Beenden finalisiert den offenen Stand und leitet den Sieger aus den Sätzen ab (200). Walkover (Body</w:t>
            </w:r>
            <w:r>
              <w:t xml:space="preserve"> </w:t>
            </w:r>
            <w:r>
              <w:rPr>
                <w:rStyle w:val="VerbatimChar"/>
              </w:rPr>
              <w:t xml:space="preserve">winner</w:t>
            </w:r>
            <w:r>
              <w:t xml:space="preserve">) weist den Sieg unabhängig vom Stand zu. Walkover auf abgeschlossenem Match → 409, unbekannt → 404, ungültiger</w:t>
            </w:r>
            <w:r>
              <w:t xml:space="preserve"> </w:t>
            </w:r>
            <w:r>
              <w:rPr>
                <w:rStyle w:val="VerbatimChar"/>
              </w:rPr>
              <w:t xml:space="preserve">winner</w:t>
            </w:r>
            <w:r>
              <w:t xml:space="preserve"> </w:t>
            </w:r>
            <w:r>
              <w:t xml:space="preserve">→ 400.</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Manuelle Spielstand-Korrektur. Pflicht: Punkte/Games/Sätze (≥ 0),</w:t>
            </w:r>
            <w:r>
              <w:t xml:space="preserve"> </w:t>
            </w:r>
            <w:r>
              <w:rPr>
                <w:rStyle w:val="VerbatimChar"/>
              </w:rPr>
              <w:t xml:space="preserve">currentSet</w:t>
            </w:r>
            <w:r>
              <w:t xml:space="preserve"> </w:t>
            </w:r>
            <w:r>
              <w:t xml:space="preserve">(≥ 1),</w:t>
            </w:r>
            <w:r>
              <w:t xml:space="preserve"> </w:t>
            </w:r>
            <w:r>
              <w:rPr>
                <w:rStyle w:val="VerbatimChar"/>
              </w:rPr>
              <w:t xml:space="preserve">isDeuce</w:t>
            </w:r>
            <w:r>
              <w:t xml:space="preserve">,</w:t>
            </w:r>
            <w:r>
              <w:t xml:space="preserve"> </w:t>
            </w:r>
            <w:r>
              <w:rPr>
                <w:rStyle w:val="VerbatimChar"/>
              </w:rPr>
              <w:t xml:space="preserve">isDone</w:t>
            </w:r>
            <w:r>
              <w:t xml:space="preserve">. Optional:</w:t>
            </w:r>
            <w:r>
              <w:t xml:space="preserve"> </w:t>
            </w:r>
            <w:r>
              <w:rPr>
                <w:rStyle w:val="VerbatimChar"/>
              </w:rPr>
              <w:t xml:space="preserve">isAdvantagePlayer1</w:t>
            </w:r>
            <w:r>
              <w:t xml:space="preserve">,</w:t>
            </w:r>
            <w:r>
              <w:t xml:space="preserve"> </w:t>
            </w:r>
            <w:r>
              <w:rPr>
                <w:rStyle w:val="VerbatimChar"/>
              </w:rPr>
              <w:t xml:space="preserve">winner</w:t>
            </w:r>
            <w:r>
              <w:t xml:space="preserve">. Status folgt</w:t>
            </w:r>
            <w:r>
              <w:t xml:space="preserve"> </w:t>
            </w:r>
            <w:r>
              <w:rPr>
                <w:rStyle w:val="VerbatimChar"/>
              </w:rPr>
              <w:t xml:space="preserve">isDone</w:t>
            </w:r>
            <w:r>
              <w:t xml:space="preserve"> </w:t>
            </w:r>
            <w:r>
              <w:t xml:space="preserve">(entschieden →</w:t>
            </w:r>
            <w:r>
              <w:t xml:space="preserve"> </w:t>
            </w:r>
            <w:r>
              <w:rPr>
                <w:rStyle w:val="VerbatimChar"/>
              </w:rPr>
              <w:t xml:space="preserve">COMPLETED</w:t>
            </w:r>
            <w:r>
              <w:t xml:space="preserve">, sonst zurück auf</w:t>
            </w:r>
            <w:r>
              <w:t xml:space="preserve"> </w:t>
            </w:r>
            <w:r>
              <w:rPr>
                <w:rStyle w:val="VerbatimChar"/>
              </w:rPr>
              <w:t xml:space="preserve">IN_PROGRESS</w:t>
            </w:r>
            <w:r>
              <w:t xml:space="preserve">). Unbekannt → 404, Wertebereich → 400.</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Setzt den Aufschläger (Spieler 1 oder 2, kein Body).</w:t>
            </w:r>
            <w:r>
              <w:t xml:space="preserve"> </w:t>
            </w:r>
            <w:r>
              <w:rPr>
                <w:rStyle w:val="VerbatimChar"/>
              </w:rPr>
              <w:t xml:space="preserve">servingPlayer</w:t>
            </w:r>
            <w:r>
              <w:t xml:space="preserve"> </w:t>
            </w:r>
            <w:r>
              <w:t xml:space="preserve">ist Grundlage der Break-Point-Erkennung (FA-06). Auf abgeschlossenem Match → 409, unbekannt → 404.</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Statistik eines einzelnen Matches. Antwort: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 je Spieler gewonnene Punkte, Winners, Unforced/Forced Errors, Aces, DF, First/Second-Serve-%, gewonnene/gespielte Break Points, Vorhand-Anteil. Unbekannt → 404.</w:t>
            </w:r>
          </w:p>
        </w:tc>
        <w:tc>
          <w:tcPr/>
          <w:p>
            <w:pPr>
              <w:pStyle w:val="Compact"/>
            </w:pPr>
            <w:r>
              <w:t xml:space="preserve">V1</w:t>
            </w:r>
          </w:p>
        </w:tc>
      </w:tr>
      <w:tr>
        <w:tc>
          <w:tcPr/>
          <w:p>
            <w:pPr>
              <w:pStyle w:val="Compact"/>
            </w:pPr>
            <w:r>
              <w:t xml:space="preserve">FA-18</w:t>
            </w:r>
          </w:p>
        </w:tc>
        <w:tc>
          <w:tcPr/>
          <w:p>
            <w:pPr>
              <w:pStyle w:val="Compact"/>
            </w:pPr>
            <w:r>
              <w:rPr>
                <w:b/>
                <w:bCs/>
              </w:rPr>
              <w:t xml:space="preserve">DSGVO Art. 20 — Datenexport</w:t>
            </w:r>
          </w:p>
        </w:tc>
        <w:tc>
          <w:tcPr/>
          <w:p>
            <w:pPr>
              <w:pStyle w:val="Compact"/>
            </w:pPr>
            <w:r>
              <w:t xml:space="preserve">Liefert einen JSON-Snapshot der eigenen Daten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points</w:t>
            </w:r>
            <w:r>
              <w:t xml:space="preserve">,</w:t>
            </w:r>
            <w:r>
              <w:t xml:space="preserve"> </w:t>
            </w:r>
            <w:r>
              <w:rPr>
                <w:rStyle w:val="VerbatimChar"/>
              </w:rPr>
              <w:t xml:space="preserve">scores</w:t>
            </w:r>
            <w:r>
              <w:t xml:space="preserve">,</w:t>
            </w:r>
            <w:r>
              <w:t xml:space="preserve"> </w:t>
            </w:r>
            <w:r>
              <w:rPr>
                <w:rStyle w:val="VerbatimChar"/>
              </w:rPr>
              <w:t xml:space="preserve">analyses</w:t>
            </w:r>
            <w:r>
              <w:t xml:space="preserve">), gefiltert auf</w:t>
            </w:r>
            <w:r>
              <w:t xml:space="preserve"> </w:t>
            </w:r>
            <w:r>
              <w:rPr>
                <w:rStyle w:val="VerbatimChar"/>
              </w:rPr>
              <w:t xml:space="preserve">owner_id = sub</w:t>
            </w:r>
            <w:r>
              <w:t xml:space="preserve">. Frontend lädt</w:t>
            </w:r>
            <w:r>
              <w:t xml:space="preserve"> </w:t>
            </w:r>
            <w:r>
              <w:rPr>
                <w:rStyle w:val="VerbatimChar"/>
              </w:rPr>
              <w:t xml:space="preserve">tsas-export-YYYY-MM-DD.json</w:t>
            </w:r>
            <w:r>
              <w:t xml:space="preserve">.</w:t>
            </w:r>
          </w:p>
        </w:tc>
        <w:tc>
          <w:tcPr/>
          <w:p>
            <w:pPr>
              <w:pStyle w:val="Compact"/>
            </w:pPr>
            <w:r>
              <w:t xml:space="preserve">V1</w:t>
            </w:r>
          </w:p>
        </w:tc>
      </w:tr>
      <w:tr>
        <w:tc>
          <w:tcPr/>
          <w:p>
            <w:pPr>
              <w:pStyle w:val="Compact"/>
            </w:pPr>
            <w:r>
              <w:t xml:space="preserve">FA-19</w:t>
            </w:r>
          </w:p>
        </w:tc>
        <w:tc>
          <w:tcPr/>
          <w:p>
            <w:pPr>
              <w:pStyle w:val="Compact"/>
            </w:pPr>
            <w:r>
              <w:rPr>
                <w:b/>
                <w:bCs/>
              </w:rPr>
              <w:t xml:space="preserve">DSGVO Art. 17 — Löschung</w:t>
            </w:r>
          </w:p>
        </w:tc>
        <w:tc>
          <w:tcPr/>
          <w:p>
            <w:pPr>
              <w:pStyle w:val="Compact"/>
            </w:pPr>
            <w:r>
              <w:t xml:space="preserve">Löscht alle eigenen Aggregate in einer Transaktion (FK-Reihenfolge</w:t>
            </w:r>
            <w:r>
              <w:t xml:space="preserve"> </w:t>
            </w:r>
            <w:r>
              <w:rPr>
                <w:rStyle w:val="VerbatimChar"/>
              </w:rPr>
              <w:t xml:space="preserve">points → match_scores → match_analysis → matches → players</w:t>
            </w:r>
            <w:r>
              <w:t xml:space="preserve">). Antwort: Counts; idempotent. Keycloak-Konto bleibt.</w:t>
            </w:r>
          </w:p>
        </w:tc>
        <w:tc>
          <w:tcPr/>
          <w:p>
            <w:pPr>
              <w:pStyle w:val="Compact"/>
            </w:pPr>
            <w:r>
              <w:t xml:space="preserve">V1</w:t>
            </w:r>
          </w:p>
        </w:tc>
      </w:tr>
      <w:tr>
        <w:tc>
          <w:tcPr/>
          <w:p>
            <w:pPr>
              <w:pStyle w:val="Compact"/>
            </w:pPr>
            <w:r>
              <w:t xml:space="preserve">FA-20</w:t>
            </w:r>
          </w:p>
        </w:tc>
        <w:tc>
          <w:tcPr/>
          <w:p>
            <w:pPr>
              <w:pStyle w:val="Compact"/>
            </w:pPr>
            <w:r>
              <w:rPr>
                <w:b/>
                <w:bCs/>
              </w:rPr>
              <w:t xml:space="preserve">KI-Gegner-Vorbereitung (Head-to-Head)</w:t>
            </w:r>
          </w:p>
        </w:tc>
        <w:tc>
          <w:tcPr/>
          <w:p>
            <w:pPr>
              <w:pStyle w:val="Compact"/>
            </w:pPr>
            <w:r>
              <w:t xml:space="preserve">Head-to-Head-Vorbereitung gegen einen Gegner. Lädt beide Profile, aggregiert die Head-to-Head-Statistik (FA-08), LLM via Spring AI. Antwort: 4 Textfelder (</w:t>
            </w:r>
            <w:r>
              <w:rPr>
                <w:rStyle w:val="VerbatimChar"/>
              </w:rPr>
              <w:t xml:space="preserve">opponentProfile</w:t>
            </w:r>
            <w:r>
              <w:t xml:space="preserve">,</w:t>
            </w:r>
            <w:r>
              <w:t xml:space="preserve"> </w:t>
            </w:r>
            <w:r>
              <w:rPr>
                <w:rStyle w:val="VerbatimChar"/>
              </w:rPr>
              <w:t xml:space="preserve">tacticalObservations</w:t>
            </w:r>
            <w:r>
              <w:t xml:space="preserve">,</w:t>
            </w:r>
            <w:r>
              <w:t xml:space="preserve"> </w:t>
            </w:r>
            <w:r>
              <w:rPr>
                <w:rStyle w:val="VerbatimChar"/>
              </w:rPr>
              <w:t xml:space="preserve">serveStrategy</w:t>
            </w:r>
            <w:r>
              <w:t xml:space="preserve">,</w:t>
            </w:r>
            <w:r>
              <w:t xml:space="preserve"> </w:t>
            </w:r>
            <w:r>
              <w:rPr>
                <w:rStyle w:val="VerbatimChar"/>
              </w:rPr>
              <w:t xml:space="preserve">returnStrategy</w:t>
            </w:r>
            <w:r>
              <w:t xml:space="preserve">) + 3–5 Empfehlungen.</w:t>
            </w:r>
            <w:r>
              <w:t xml:space="preserve"> </w:t>
            </w:r>
            <w:r>
              <w:rPr>
                <w:b/>
                <w:bCs/>
              </w:rPr>
              <w:t xml:space="preserve">Nicht persistiert</w:t>
            </w:r>
            <w:r>
              <w:t xml:space="preserve"> </w:t>
            </w:r>
            <w:r>
              <w:t xml:space="preserve">(Stand ändert sich pro Match); gleicher Rate-Limiter wie FA-11. Codes: 200/400 (gleiche IDs)/404 (Spieler unbekannt/fremder Owner — IDOR-Schutz: 404 statt 403)/422 (kein gemeinsames Match)/429/502. Verankert auf der Head-to-Head-Seite; Sprache aus User-Preferences (FA-21).</w:t>
            </w:r>
          </w:p>
        </w:tc>
        <w:tc>
          <w:tcPr/>
          <w:p>
            <w:pPr>
              <w:pStyle w:val="Compact"/>
            </w:pPr>
            <w:r>
              <w:t xml:space="preserve">V2</w:t>
            </w:r>
          </w:p>
        </w:tc>
      </w:tr>
      <w:tr>
        <w:tc>
          <w:tcPr/>
          <w:p>
            <w:pPr>
              <w:pStyle w:val="Compact"/>
            </w:pPr>
            <w:r>
              <w:t xml:space="preserve">FA-21</w:t>
            </w:r>
          </w:p>
        </w:tc>
        <w:tc>
          <w:tcPr/>
          <w:p>
            <w:pPr>
              <w:pStyle w:val="Compact"/>
            </w:pPr>
            <w:r>
              <w:rPr>
                <w:b/>
                <w:bCs/>
              </w:rPr>
              <w:t xml:space="preserve">Mehrsprachigkeit (DE/EN/IT/FR)</w:t>
            </w:r>
          </w:p>
        </w:tc>
        <w:tc>
          <w:tcPr/>
          <w:p>
            <w:pPr>
              <w:pStyle w:val="Compact"/>
            </w:pPr>
            <w:r>
              <w:t xml:space="preserve">UI in vier Sprachen (DE Default), Picker in der Toolbar. ngx-translate (JSON-Locales</w:t>
            </w:r>
            <w:r>
              <w:t xml:space="preserve"> </w:t>
            </w:r>
            <w:r>
              <w:rPr>
                <w:rStyle w:val="VerbatimChar"/>
              </w:rPr>
              <w:t xml:space="preserve">public/i18n/</w:t>
            </w:r>
            <w:r>
              <w:t xml:space="preserve">), persistiert in</w:t>
            </w:r>
            <w:r>
              <w:t xml:space="preserve"> </w:t>
            </w:r>
            <w:r>
              <w:rPr>
                <w:rStyle w:val="VerbatimChar"/>
              </w:rPr>
              <w:t xml:space="preserve">user_preferences</w:t>
            </w:r>
            <w:r>
              <w:t xml:space="preserve"> </w:t>
            </w:r>
            <w:r>
              <w:t xml:space="preserve">(PK = Keycloak-</w:t>
            </w:r>
            <w:r>
              <w:rPr>
                <w:rStyle w:val="VerbatimChar"/>
              </w:rPr>
              <w:t xml:space="preserve">sub</w:t>
            </w:r>
            <w:r>
              <w:t xml:space="preserve">,</w:t>
            </w:r>
            <w:r>
              <w:t xml:space="preserve"> </w:t>
            </w:r>
            <w:r>
              <w:rPr>
                <w:rStyle w:val="VerbatimChar"/>
              </w:rPr>
              <w:t xml:space="preserve">CHECK</w:t>
            </w:r>
            <w:r>
              <w:t xml:space="preserve"> </w:t>
            </w:r>
            <w:r>
              <w:t xml:space="preserve">auf vier Codes).</w:t>
            </w:r>
            <w:r>
              <w:t xml:space="preserve"> </w:t>
            </w:r>
            <w:r>
              <w:rPr>
                <w:rStyle w:val="VerbatimChar"/>
              </w:rPr>
              <w:t xml:space="preserve">LanguageService</w:t>
            </w:r>
            <w:r>
              <w:t xml:space="preserve"> </w:t>
            </w:r>
            <w:r>
              <w:t xml:space="preserve">lädt die Präferenz beim Boot, schreibt sie zurück, Fallback</w:t>
            </w:r>
            <w:r>
              <w:t xml:space="preserve"> </w:t>
            </w:r>
            <w:r>
              <w:rPr>
                <w:rStyle w:val="VerbatimChar"/>
              </w:rPr>
              <w:t xml:space="preserve">localStorage</w:t>
            </w:r>
            <w:r>
              <w:t xml:space="preserve">. KI-Antworten (FA-11/FA-20) folgen der Sprache:</w:t>
            </w:r>
            <w:r>
              <w:t xml:space="preserve"> </w:t>
            </w:r>
            <w:r>
              <w:rPr>
                <w:rStyle w:val="VerbatimChar"/>
              </w:rPr>
              <w:t xml:space="preserve">PromptBuilder</w:t>
            </w:r>
            <w:r>
              <w:t xml:space="preserve"> </w:t>
            </w:r>
            <w:r>
              <w:t xml:space="preserve">hängt eine sprachspezifische Direktive an, gelesen über</w:t>
            </w:r>
            <w:r>
              <w:t xml:space="preserve"> </w:t>
            </w:r>
            <w:r>
              <w:rPr>
                <w:rStyle w:val="VerbatimChar"/>
              </w:rPr>
              <w:t xml:space="preserve">UserLanguagePort</w:t>
            </w:r>
            <w:r>
              <w:t xml:space="preserve">.</w:t>
            </w:r>
          </w:p>
        </w:tc>
        <w:tc>
          <w:tcPr/>
          <w:p>
            <w:pPr>
              <w:pStyle w:val="Compact"/>
            </w:pPr>
            <w:r>
              <w:t xml:space="preserve">V1.x</w:t>
            </w:r>
          </w:p>
        </w:tc>
      </w:tr>
      <w:tr>
        <w:tc>
          <w:tcPr/>
          <w:p>
            <w:pPr>
              <w:pStyle w:val="Compact"/>
            </w:pPr>
            <w:r>
              <w:t xml:space="preserve">FA-22</w:t>
            </w:r>
          </w:p>
        </w:tc>
        <w:tc>
          <w:tcPr/>
          <w:p>
            <w:pPr>
              <w:pStyle w:val="Compact"/>
            </w:pPr>
            <w:r>
              <w:rPr>
                <w:b/>
                <w:bCs/>
              </w:rPr>
              <w:t xml:space="preserve">Coach-Freitext-Notizen je Spieler</w:t>
            </w:r>
          </w:p>
        </w:tc>
        <w:tc>
          <w:tcPr/>
          <w:p>
            <w:pPr>
              <w:pStyle w:val="Compact"/>
            </w:pPr>
            <w:r>
              <w:t xml:space="preserve">Genau</w:t>
            </w:r>
            <w:r>
              <w:t xml:space="preserve"> </w:t>
            </w:r>
            <w:r>
              <w:rPr>
                <w:b/>
                <w:bCs/>
              </w:rPr>
              <w:t xml:space="preserve">eine</w:t>
            </w:r>
            <w:r>
              <w:t xml:space="preserve"> </w:t>
            </w:r>
            <w:r>
              <w:t xml:space="preserve">Notiz pro Spieler/Match, entkoppelt vom Spielstand. Lesen liefert 0–2 Notizen (owner-geprüft); Schreiben ist ein Upsert (leere Notiz löscht → 204).</w:t>
            </w:r>
            <w:r>
              <w:t xml:space="preserve"> </w:t>
            </w:r>
            <w:r>
              <w:rPr>
                <w:rStyle w:val="VerbatimChar"/>
              </w:rPr>
              <w:t xml:space="preserve">playerId</w:t>
            </w:r>
            <w:r>
              <w:t xml:space="preserve"> </w:t>
            </w:r>
            <w:r>
              <w:t xml:space="preserve">muss teilnehmen (sonst 400),</w:t>
            </w:r>
            <w:r>
              <w:t xml:space="preserve"> </w:t>
            </w:r>
            <w:r>
              <w:rPr>
                <w:rStyle w:val="VerbatimChar"/>
              </w:rPr>
              <w:t xml:space="preserve">note</w:t>
            </w:r>
            <w:r>
              <w:t xml:space="preserve"> </w:t>
            </w:r>
            <w:r>
              <w:t xml:space="preserve">≤ 2000 (sonst 400), fremdes Match → 404. Persistenz</w:t>
            </w:r>
            <w:r>
              <w:t xml:space="preserve"> </w:t>
            </w:r>
            <w:r>
              <w:rPr>
                <w:rStyle w:val="VerbatimChar"/>
              </w:rPr>
              <w:t xml:space="preserve">match_player_notes</w:t>
            </w:r>
            <w:r>
              <w:t xml:space="preserve">. Notizen fliessen als Kontext in FA-11 (Match-Notizen) und FA-20 (Gegner-Notizen aus abgeschlossenen Matches). Wiederverwendbares Panel auf Score- und Analyse-Seite.</w:t>
            </w:r>
          </w:p>
        </w:tc>
        <w:tc>
          <w:tcPr/>
          <w:p>
            <w:pPr>
              <w:pStyle w:val="Compact"/>
            </w:pPr>
            <w:r>
              <w:t xml:space="preserve">V1.x</w:t>
            </w:r>
          </w:p>
        </w:tc>
      </w:tr>
    </w:tbl>
    <w:bookmarkEnd w:id="81"/>
    <w:bookmarkStart w:id="82" w:name="nicht-funktionale-anforderungen-smart"/>
    <w:p>
      <w:pPr>
        <w:pStyle w:val="Heading3"/>
      </w:pPr>
      <w:r>
        <w:t xml:space="preserve">10.2 Nicht-funktionale Anforderungen (SMART)</w:t>
      </w:r>
    </w:p>
    <w:p>
      <w:pPr>
        <w:pStyle w:val="FirstParagraph"/>
      </w:pPr>
      <w:r>
        <w:t xml:space="preserve">Ergänzend zu den Qualitätszielen (QZ-01–QZ-06, §1.2):</w:t>
      </w:r>
    </w:p>
    <w:tbl>
      <w:tblPr>
        <w:tblStyle w:val="Table"/>
        <w:tblW w:type="pct" w:w="5000"/>
        <w:tblLayout w:type="fixed"/>
        <w:tblLook w:firstRow="1" w:lastRow="0" w:firstColumn="0" w:lastColumn="0" w:noHBand="0" w:noVBand="0" w:val="0020"/>
      </w:tblPr>
      <w:tblGrid>
        <w:gridCol w:w="772"/>
        <w:gridCol w:w="1738"/>
        <w:gridCol w:w="5408"/>
      </w:tblGrid>
      <w:tr>
        <w:trPr>
          <w:tblHeader w:val="on"/>
        </w:trPr>
        <w:tc>
          <w:tcPr/>
          <w:p>
            <w:pPr>
              <w:pStyle w:val="Compact"/>
            </w:pPr>
            <w:r>
              <w:t xml:space="preserve">ID</w:t>
            </w:r>
          </w:p>
        </w:tc>
        <w:tc>
          <w:tcPr/>
          <w:p>
            <w:pPr>
              <w:pStyle w:val="Compact"/>
            </w:pPr>
            <w:r>
              <w:t xml:space="preserve">Merkmal</w:t>
            </w:r>
          </w:p>
        </w:tc>
        <w:tc>
          <w:tcPr/>
          <w:p>
            <w:pPr>
              <w:pStyle w:val="Compact"/>
            </w:pPr>
            <w:r>
              <w:t xml:space="preserve">SMART-Beschreibung (Kurz)</w:t>
            </w:r>
          </w:p>
        </w:tc>
      </w:tr>
      <w:tr>
        <w:tc>
          <w:tcPr/>
          <w:p>
            <w:pPr>
              <w:pStyle w:val="Compact"/>
            </w:pPr>
            <w:r>
              <w:t xml:space="preserve">NFA-01</w:t>
            </w:r>
          </w:p>
        </w:tc>
        <w:tc>
          <w:tcPr/>
          <w:p>
            <w:pPr>
              <w:pStyle w:val="Compact"/>
            </w:pPr>
            <w:r>
              <w:rPr>
                <w:b/>
                <w:bCs/>
              </w:rPr>
              <w:t xml:space="preserve">Skalierbarkeit</w:t>
            </w:r>
          </w:p>
        </w:tc>
        <w:tc>
          <w:tcPr/>
          <w:p>
            <w:pPr>
              <w:pStyle w:val="Compact"/>
            </w:pPr>
            <w:r>
              <w:t xml:space="preserve">Bei 100 gleichzeitigen Nutzern (Lasttest k6/JMeter, 95. Perzentil): Write ≤ 250 ms, Read ≤ 500 ms; Durchsatz-Degradation gegenüber 10 Nutzern ≤ 20 %. Nachweis via dokumentiertem Lasttest.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Passwörter nur als bcrypt-Hash (Cost ≥ 12) in Keycloak. Alle externen Verbindungen TLS ≥ 1.2 (TLS 1.0/1.1 deaktiviert, prüfbar via</w:t>
            </w:r>
            <w:r>
              <w:t xml:space="preserve"> </w:t>
            </w:r>
            <w:r>
              <w:rPr>
                <w:rStyle w:val="VerbatimChar"/>
              </w:rPr>
              <w:t xml:space="preserve">openssl s_client</w:t>
            </w:r>
            <w:r>
              <w:t xml:space="preserve">). Interne Container-Kommunikation (API ↔ DB) im isolierten Docker-Netz von der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Lauffähig auf Docker Engine 24.0+ / Compose v2.0+ (Linux x86_64, macOS Apple Silicon, Windows WSL2).</w:t>
            </w:r>
            <w:r>
              <w:t xml:space="preserve"> </w:t>
            </w:r>
            <w:r>
              <w:rPr>
                <w:rStyle w:val="VerbatimChar"/>
              </w:rPr>
              <w:t xml:space="preserve">docker compose up</w:t>
            </w:r>
            <w:r>
              <w:t xml:space="preserve"> </w:t>
            </w:r>
            <w:r>
              <w:t xml:space="preserve">ohne manuelle Schritte, betriebsbereit ≤ 5 min (inkl. Image-Download); auf ≥ 2 Plattformen verifiziert.</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Tägliches automatisches</w:t>
            </w:r>
            <w:r>
              <w:t xml:space="preserve"> </w:t>
            </w:r>
            <w:r>
              <w:rPr>
                <w:rStyle w:val="VerbatimChar"/>
              </w:rPr>
              <w:t xml:space="preserve">pg_dump</w:t>
            </w:r>
            <w:r>
              <w:t xml:space="preserve"> </w:t>
            </w:r>
            <w:r>
              <w:t xml:space="preserve">(komprimiert, ausserhalb des DB-Containers). RPO = 24 h, RTO = 30 min. Wiederherstellung dokumentiert und vor Produktivbetrieb ≥ 1× erfolgreich getestet.</w:t>
            </w:r>
          </w:p>
        </w:tc>
      </w:tr>
    </w:tbl>
    <w:bookmarkEnd w:id="82"/>
    <w:bookmarkStart w:id="83" w:name="abnahmekriterien-je-kernfunktion"/>
    <w:p>
      <w:pPr>
        <w:pStyle w:val="Heading3"/>
      </w:pPr>
      <w:r>
        <w:t xml:space="preserve">10.3 Abnahmekriterien je Kernfunktion</w:t>
      </w:r>
    </w:p>
    <w:p>
      <w:pPr>
        <w:pStyle w:val="FirstParagraph"/>
      </w:pPr>
      <w:r>
        <w:t xml:space="preserve">Je Kernfunktion ein abnahmefähiges</w:t>
      </w:r>
      <w:r>
        <w:t xml:space="preserve"> </w:t>
      </w:r>
      <w:r>
        <w:rPr>
          <w:i/>
          <w:iCs/>
        </w:rPr>
        <w:t xml:space="preserve">Gegeben/Wenn/Dann</w:t>
      </w:r>
      <w:r>
        <w:t xml:space="preserve">-Kriterium, verlinkt auf FA (§10.1) und QZ/NFA.</w:t>
      </w:r>
      <w:r>
        <w:t xml:space="preserve"> </w:t>
      </w:r>
      <w:r>
        <w:rPr>
          <w:b/>
          <w:bCs/>
        </w:rPr>
        <w:t xml:space="preserve">Erfüllt</w:t>
      </w:r>
      <w:r>
        <w:t xml:space="preserve">, wenn der zugehörige automatisierte Test grün ist (Modul-Tests plus</w:t>
      </w:r>
      <w:r>
        <w:t xml:space="preserve"> </w:t>
      </w:r>
      <w:r>
        <w:rPr>
          <w:rStyle w:val="VerbatimChar"/>
        </w:rPr>
        <w:t xml:space="preserve">IntegrationTests</w:t>
      </w:r>
      <w:r>
        <w:t xml:space="preserve"> </w:t>
      </w:r>
      <w:r>
        <w:t xml:space="preserve">gegen eine PostgreSQL Instanz, §8.5–8.7).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Kernfunktion</w:t>
            </w:r>
          </w:p>
        </w:tc>
        <w:tc>
          <w:tcPr/>
          <w:p>
            <w:pPr>
              <w:pStyle w:val="Compact"/>
            </w:pPr>
            <w:r>
              <w:t xml:space="preserve">Abnahmekriterium (Kurz)</w:t>
            </w:r>
          </w:p>
        </w:tc>
        <w:tc>
          <w:tcPr/>
          <w:p>
            <w:pPr>
              <w:pStyle w:val="Compact"/>
            </w:pPr>
            <w:r>
              <w:t xml:space="preserve">FA</w:t>
            </w:r>
          </w:p>
        </w:tc>
        <w:tc>
          <w:tcPr/>
          <w:p>
            <w:pPr>
              <w:pStyle w:val="Compact"/>
            </w:pPr>
            <w:r>
              <w:t xml:space="preserve">QZ/NFA</w:t>
            </w:r>
          </w:p>
        </w:tc>
      </w:tr>
      <w:tr>
        <w:tc>
          <w:tcPr/>
          <w:p>
            <w:pPr>
              <w:pStyle w:val="Compact"/>
            </w:pPr>
            <w:r>
              <w:rPr>
                <w:b/>
                <w:bCs/>
              </w:rPr>
              <w:t xml:space="preserve">Auth &amp; Registrierung</w:t>
            </w:r>
          </w:p>
        </w:tc>
        <w:tc>
          <w:tcPr/>
          <w:p>
            <w:pPr>
              <w:pStyle w:val="Compact"/>
            </w:pPr>
            <w:r>
              <w:t xml:space="preserve">Geschützter Endpunkt ohne Token →</w:t>
            </w:r>
            <w:r>
              <w:t xml:space="preserve"> </w:t>
            </w:r>
            <w:r>
              <w:rPr>
                <w:b/>
                <w:bCs/>
              </w:rPr>
              <w:t xml:space="preserve">401</w:t>
            </w:r>
            <w:r>
              <w:t xml:space="preserve">, mit Token →</w:t>
            </w:r>
            <w:r>
              <w:t xml:space="preserve"> </w:t>
            </w:r>
            <w:r>
              <w:rPr>
                <w:b/>
                <w:bCs/>
              </w:rPr>
              <w:t xml:space="preserve">200</w:t>
            </w:r>
            <w:r>
              <w:t xml:space="preserve">; Self-Registrierung mit gültigen Feldern → Konto, doppelte E-Mail/Username →</w:t>
            </w:r>
            <w:r>
              <w:t xml:space="preserve"> </w:t>
            </w:r>
            <w:r>
              <w:rPr>
                <w:b/>
                <w:bCs/>
              </w:rPr>
              <w:t xml:space="preserve">409</w:t>
            </w:r>
            <w:r>
              <w:t xml:space="preserve">.</w:t>
            </w:r>
          </w:p>
        </w:tc>
        <w:tc>
          <w:tcPr/>
          <w:p>
            <w:pPr>
              <w:pStyle w:val="Compact"/>
            </w:pPr>
            <w:r>
              <w:t xml:space="preserve">FA-01, FA-02</w:t>
            </w:r>
          </w:p>
        </w:tc>
        <w:tc>
          <w:tcPr/>
          <w:p>
            <w:pPr>
              <w:pStyle w:val="Compact"/>
            </w:pPr>
            <w:r>
              <w:t xml:space="preserve">QZ-05</w:t>
            </w:r>
          </w:p>
        </w:tc>
      </w:tr>
      <w:tr>
        <w:tc>
          <w:tcPr/>
          <w:p>
            <w:pPr>
              <w:pStyle w:val="Compact"/>
            </w:pPr>
            <w:r>
              <w:rPr>
                <w:b/>
                <w:bCs/>
              </w:rPr>
              <w:t xml:space="preserve">Spieler (CRUD/Suche)</w:t>
            </w:r>
          </w:p>
        </w:tc>
        <w:tc>
          <w:tcPr/>
          <w:p>
            <w:pPr>
              <w:pStyle w:val="Compact"/>
            </w:pPr>
            <w:r>
              <w:rPr>
                <w:rStyle w:val="VerbatimChar"/>
              </w:rPr>
              <w:t xml:space="preserve">POST /api/players</w:t>
            </w:r>
            <w:r>
              <w:t xml:space="preserve"> </w:t>
            </w:r>
            <w:r>
              <w:t xml:space="preserve">mit Pflichtfeldern →</w:t>
            </w:r>
            <w:r>
              <w:t xml:space="preserve"> </w:t>
            </w:r>
            <w:r>
              <w:rPr>
                <w:b/>
                <w:bCs/>
              </w:rPr>
              <w:t xml:space="preserve">201</w:t>
            </w:r>
            <w:r>
              <w:t xml:space="preserve"> </w:t>
            </w:r>
            <w:r>
              <w:t xml:space="preserve">mit UUID; fehlend →</w:t>
            </w:r>
            <w:r>
              <w:t xml:space="preserve"> </w:t>
            </w:r>
            <w:r>
              <w:rPr>
                <w:b/>
                <w:bCs/>
              </w:rPr>
              <w:t xml:space="preserve">400</w:t>
            </w:r>
            <w:r>
              <w:t xml:space="preserve">; Suche ohne Parameter →</w:t>
            </w:r>
            <w:r>
              <w:t xml:space="preserve"> </w:t>
            </w:r>
            <w:r>
              <w:rPr>
                <w:b/>
                <w:bCs/>
              </w:rPr>
              <w:t xml:space="preserve">400</w:t>
            </w:r>
            <w:r>
              <w:t xml:space="preserve">; Löschen eines beteiligten Spielers →</w:t>
            </w:r>
            <w:r>
              <w:t xml:space="preserve"> </w:t>
            </w:r>
            <w:r>
              <w:rPr>
                <w:b/>
                <w:bCs/>
              </w:rPr>
              <w:t xml:space="preserve">409</w:t>
            </w:r>
            <w:r>
              <w:t xml:space="preserve"> </w:t>
            </w:r>
            <w:r>
              <w:t xml:space="preserve">(Soft-Delete via</w:t>
            </w:r>
            <w:r>
              <w:t xml:space="preserve"> </w:t>
            </w:r>
            <w:r>
              <w:rPr>
                <w:rStyle w:val="VerbatimChar"/>
              </w:rPr>
              <w:t xml:space="preserve">deactivate</w:t>
            </w:r>
            <w:r>
              <w:t xml:space="preserve">).</w:t>
            </w:r>
          </w:p>
        </w:tc>
        <w:tc>
          <w:tcPr/>
          <w:p>
            <w:pPr>
              <w:pStyle w:val="Compact"/>
            </w:pPr>
            <w:r>
              <w:t xml:space="preserve">FA-03, FA-04, FA-12, FA-13</w:t>
            </w:r>
          </w:p>
        </w:tc>
        <w:tc>
          <w:tcPr/>
          <w:p>
            <w:pPr>
              <w:pStyle w:val="Compact"/>
            </w:pPr>
            <w:r>
              <w:t xml:space="preserve">QZ-03, NFA-01</w:t>
            </w:r>
          </w:p>
        </w:tc>
      </w:tr>
      <w:tr>
        <w:tc>
          <w:tcPr/>
          <w:p>
            <w:pPr>
              <w:pStyle w:val="Compact"/>
            </w:pPr>
            <w:r>
              <w:rPr>
                <w:b/>
                <w:bCs/>
              </w:rPr>
              <w:t xml:space="preserve">Match anlegen &amp; verwalten</w:t>
            </w:r>
          </w:p>
        </w:tc>
        <w:tc>
          <w:tcPr/>
          <w:p>
            <w:pPr>
              <w:pStyle w:val="Compact"/>
            </w:pPr>
            <w:r>
              <w:rPr>
                <w:rStyle w:val="VerbatimChar"/>
              </w:rPr>
              <w:t xml:space="preserve">POST /api/matches</w:t>
            </w:r>
            <w:r>
              <w:t xml:space="preserve"> </w:t>
            </w:r>
            <w:r>
              <w:t xml:space="preserve">gültig →</w:t>
            </w:r>
            <w:r>
              <w:t xml:space="preserve"> </w:t>
            </w:r>
            <w:r>
              <w:rPr>
                <w:b/>
                <w:bCs/>
              </w:rPr>
              <w:t xml:space="preserve">201</w:t>
            </w:r>
            <w:r>
              <w:t xml:space="preserve"> </w:t>
            </w:r>
            <w:r>
              <w:t xml:space="preserve">(</w:t>
            </w:r>
            <w:r>
              <w:rPr>
                <w:rStyle w:val="VerbatimChar"/>
              </w:rPr>
              <w:t xml:space="preserve">IN_PROGRESS</w:t>
            </w:r>
            <w:r>
              <w:t xml:space="preserve">), unbekannte Spieler-ID →</w:t>
            </w:r>
            <w:r>
              <w:t xml:space="preserve"> </w:t>
            </w:r>
            <w:r>
              <w:rPr>
                <w:b/>
                <w:bCs/>
              </w:rPr>
              <w:t xml:space="preserve">404</w:t>
            </w:r>
            <w:r>
              <w:t xml:space="preserve">; End/Walkover/Korrektur/Aufschläger regelkonform →</w:t>
            </w:r>
            <w:r>
              <w:t xml:space="preserve"> </w:t>
            </w:r>
            <w:r>
              <w:rPr>
                <w:b/>
                <w:bCs/>
              </w:rPr>
              <w:t xml:space="preserve">200</w:t>
            </w:r>
            <w:r>
              <w:t xml:space="preserve">, ungültig/abgeschlossen →</w:t>
            </w:r>
            <w:r>
              <w:t xml:space="preserve"> </w:t>
            </w:r>
            <w:r>
              <w:rPr>
                <w:b/>
                <w:bCs/>
              </w:rPr>
              <w:t xml:space="preserve">409/400</w:t>
            </w:r>
            <w:r>
              <w:t xml:space="preserve">.</w:t>
            </w:r>
          </w:p>
        </w:tc>
        <w:tc>
          <w:tcPr/>
          <w:p>
            <w:pPr>
              <w:pStyle w:val="Compact"/>
            </w:pPr>
            <w:r>
              <w:t xml:space="preserve">FA-05, FA-14–16</w:t>
            </w:r>
          </w:p>
        </w:tc>
        <w:tc>
          <w:tcPr/>
          <w:p>
            <w:pPr>
              <w:pStyle w:val="Compact"/>
            </w:pPr>
            <w:r>
              <w:t xml:space="preserve">QZ-03</w:t>
            </w:r>
          </w:p>
        </w:tc>
      </w:tr>
      <w:tr>
        <w:tc>
          <w:tcPr/>
          <w:p>
            <w:pPr>
              <w:pStyle w:val="Compact"/>
            </w:pPr>
            <w:r>
              <w:rPr>
                <w:b/>
                <w:bCs/>
              </w:rPr>
              <w:t xml:space="preserve">Punkterfassung &amp; Scoring</w:t>
            </w:r>
          </w:p>
        </w:tc>
        <w:tc>
          <w:tcPr/>
          <w:p>
            <w:pPr>
              <w:pStyle w:val="Compact"/>
            </w:pPr>
            <w:r>
              <w:t xml:space="preserve">Punkt auf</w:t>
            </w:r>
            <w:r>
              <w:t xml:space="preserve"> </w:t>
            </w:r>
            <w:r>
              <w:rPr>
                <w:rStyle w:val="VerbatimChar"/>
              </w:rPr>
              <w:t xml:space="preserve">IN_PROGRESS</w:t>
            </w:r>
            <w:r>
              <w:t xml:space="preserve">-Match →</w:t>
            </w:r>
            <w:r>
              <w:t xml:space="preserve"> </w:t>
            </w:r>
            <w:r>
              <w:rPr>
                <w:b/>
                <w:bCs/>
              </w:rPr>
              <w:t xml:space="preserve">201</w:t>
            </w:r>
            <w:r>
              <w:t xml:space="preserve"> </w:t>
            </w:r>
            <w:r>
              <w:t xml:space="preserve">mit</w:t>
            </w:r>
            <w:r>
              <w:t xml:space="preserve"> </w:t>
            </w:r>
            <w:r>
              <w:rPr>
                <w:b/>
                <w:bCs/>
              </w:rPr>
              <w:t xml:space="preserve">ITF-korrektem</w:t>
            </w:r>
            <w:r>
              <w:t xml:space="preserve"> </w:t>
            </w:r>
            <w:r>
              <w:t xml:space="preserve">Stand (0/15/30/40/Vorteil, Games, Sätze, Tie-Break, Short Set); ungültiger Enum/fehlend →</w:t>
            </w:r>
            <w:r>
              <w:t xml:space="preserve"> </w:t>
            </w:r>
            <w:r>
              <w:rPr>
                <w:b/>
                <w:bCs/>
              </w:rPr>
              <w:t xml:space="preserve">400</w:t>
            </w:r>
            <w:r>
              <w:t xml:space="preserve">.</w:t>
            </w:r>
          </w:p>
        </w:tc>
        <w:tc>
          <w:tcPr/>
          <w:p>
            <w:pPr>
              <w:pStyle w:val="Compact"/>
            </w:pPr>
            <w:r>
              <w:t xml:space="preserve">FA-06, FA-07</w:t>
            </w:r>
          </w:p>
        </w:tc>
        <w:tc>
          <w:tcPr/>
          <w:p>
            <w:pPr>
              <w:pStyle w:val="Compact"/>
            </w:pPr>
            <w:r>
              <w:t xml:space="preserve">QZ-03</w:t>
            </w:r>
          </w:p>
        </w:tc>
      </w:tr>
      <w:tr>
        <w:tc>
          <w:tcPr/>
          <w:p>
            <w:pPr>
              <w:pStyle w:val="Compact"/>
            </w:pPr>
            <w:r>
              <w:rPr>
                <w:b/>
                <w:bCs/>
              </w:rPr>
              <w:t xml:space="preserve">Statistik (H2H &amp; Match)</w:t>
            </w:r>
          </w:p>
        </w:tc>
        <w:tc>
          <w:tcPr/>
          <w:p>
            <w:pPr>
              <w:pStyle w:val="Compact"/>
            </w:pPr>
            <w:r>
              <w:rPr>
                <w:rStyle w:val="VerbatimChar"/>
              </w:rPr>
              <w:t xml:space="preserve">GET …/head-to-head</w:t>
            </w:r>
            <w:r>
              <w:t xml:space="preserve"> </w:t>
            </w:r>
            <w:r>
              <w:t xml:space="preserve">bzw.</w:t>
            </w:r>
            <w:r>
              <w:t xml:space="preserve"> </w:t>
            </w:r>
            <w:r>
              <w:rPr>
                <w:rStyle w:val="VerbatimChar"/>
              </w:rPr>
              <w:t xml:space="preserve">…/statistics</w:t>
            </w:r>
            <w:r>
              <w:t xml:space="preserve"> </w:t>
            </w:r>
            <w:r>
              <w:t xml:space="preserve">→</w:t>
            </w:r>
            <w:r>
              <w:t xml:space="preserve"> </w:t>
            </w:r>
            <w:r>
              <w:rPr>
                <w:b/>
                <w:bCs/>
              </w:rPr>
              <w:t xml:space="preserve">200</w:t>
            </w:r>
            <w:r>
              <w:t xml:space="preserve"> </w:t>
            </w:r>
            <w:r>
              <w:t xml:space="preserve">mit den definierten Kennzahlen je Spieler; unbekannte ID →</w:t>
            </w:r>
            <w:r>
              <w:t xml:space="preserve"> </w:t>
            </w:r>
            <w:r>
              <w:rPr>
                <w:b/>
                <w:bCs/>
              </w:rPr>
              <w:t xml:space="preserve">404</w:t>
            </w:r>
            <w:r>
              <w:t xml:space="preserve">.</w:t>
            </w:r>
          </w:p>
        </w:tc>
        <w:tc>
          <w:tcPr/>
          <w:p>
            <w:pPr>
              <w:pStyle w:val="Compact"/>
            </w:pPr>
            <w:r>
              <w:t xml:space="preserve">FA-08, FA-17</w:t>
            </w:r>
          </w:p>
        </w:tc>
        <w:tc>
          <w:tcPr/>
          <w:p>
            <w:pPr>
              <w:pStyle w:val="Compact"/>
            </w:pPr>
            <w:r>
              <w:t xml:space="preserve">QZ-04</w:t>
            </w:r>
          </w:p>
        </w:tc>
      </w:tr>
      <w:tr>
        <w:tc>
          <w:tcPr/>
          <w:p>
            <w:pPr>
              <w:pStyle w:val="Compact"/>
            </w:pPr>
            <w:r>
              <w:rPr>
                <w:b/>
                <w:bCs/>
              </w:rPr>
              <w:t xml:space="preserve">KI-Analyse &amp; Vorbereitung</w:t>
            </w:r>
          </w:p>
        </w:tc>
        <w:tc>
          <w:tcPr/>
          <w:p>
            <w:pPr>
              <w:pStyle w:val="Compact"/>
            </w:pPr>
            <w:r>
              <w:rPr>
                <w:rStyle w:val="VerbatimChar"/>
              </w:rPr>
              <w:t xml:space="preserve">COMPLETED</w:t>
            </w:r>
            <w:r>
              <w:t xml:space="preserve"> </w:t>
            </w:r>
            <w:r>
              <w:t xml:space="preserve">+ ≥ 10 Punkte (bzw. ≥ 1 gemeinsames Match) →</w:t>
            </w:r>
            <w:r>
              <w:t xml:space="preserve"> </w:t>
            </w:r>
            <w:r>
              <w:rPr>
                <w:b/>
                <w:bCs/>
              </w:rPr>
              <w:t xml:space="preserve">200</w:t>
            </w:r>
            <w:r>
              <w:t xml:space="preserve"> </w:t>
            </w:r>
            <w:r>
              <w:t xml:space="preserve">mit Textfeldern + 3–5 Empfehlungen; Fehler korrekt:</w:t>
            </w:r>
            <w:r>
              <w:t xml:space="preserve"> </w:t>
            </w:r>
            <w:r>
              <w:rPr>
                <w:b/>
                <w:bCs/>
              </w:rPr>
              <w:t xml:space="preserve">409/422/429/502</w:t>
            </w:r>
            <w:r>
              <w:t xml:space="preserve"> </w:t>
            </w:r>
            <w:r>
              <w:t xml:space="preserve">(</w:t>
            </w:r>
            <w:r>
              <w:rPr>
                <w:rStyle w:val="VerbatimChar"/>
              </w:rPr>
              <w:t xml:space="preserve">FAILED</w:t>
            </w:r>
            <w:r>
              <w:t xml:space="preserve"> </w:t>
            </w:r>
            <w:r>
              <w:t xml:space="preserve">persistiert). HITL</w:t>
            </w:r>
            <w:r>
              <w:t xml:space="preserve"> </w:t>
            </w:r>
            <w:r>
              <w:rPr>
                <w:rStyle w:val="VerbatimChar"/>
              </w:rPr>
              <w:t xml:space="preserve">PATCH …/recommendations/{index}</w:t>
            </w:r>
            <w:r>
              <w:t xml:space="preserve"> </w:t>
            </w:r>
            <w:r>
              <w:t xml:space="preserve">→ 200/400/404/409.</w:t>
            </w:r>
          </w:p>
        </w:tc>
        <w:tc>
          <w:tcPr/>
          <w:p>
            <w:pPr>
              <w:pStyle w:val="Compact"/>
            </w:pPr>
            <w:r>
              <w:t xml:space="preserve">FA-11, FA-20</w:t>
            </w:r>
          </w:p>
        </w:tc>
        <w:tc>
          <w:tcPr/>
          <w:p>
            <w:pPr>
              <w:pStyle w:val="Compact"/>
            </w:pPr>
            <w:r>
              <w:t xml:space="preserve">QZ-06</w:t>
            </w:r>
          </w:p>
        </w:tc>
      </w:tr>
    </w:tbl>
    <w:p>
      <w:pPr>
        <w:pStyle w:val="BodyText"/>
      </w:pPr>
      <w:r>
        <w:t xml:space="preserve">Die</w:t>
      </w:r>
      <w:r>
        <w:t xml:space="preserve"> </w:t>
      </w:r>
      <w:r>
        <w:rPr>
          <w:b/>
          <w:bCs/>
        </w:rPr>
        <w:t xml:space="preserve">funktionalen</w:t>
      </w:r>
      <w:r>
        <w:t xml:space="preserve"> </w:t>
      </w:r>
      <w:r>
        <w:t xml:space="preserve">Kriterien sind durchgängig automatisiert abgedeckt (§8.7). Die</w:t>
      </w:r>
      <w:r>
        <w:t xml:space="preserve"> </w:t>
      </w:r>
      <w:r>
        <w:rPr>
          <w:b/>
          <w:bCs/>
        </w:rPr>
        <w:t xml:space="preserve">Antwortzeit</w:t>
      </w:r>
      <w:r>
        <w:t xml:space="preserve">-Kriterien (QZ-03/04/06, NFA-01) sind als Design-Ziele spezifiziert.</w:t>
      </w:r>
      <w:r>
        <w:t xml:space="preserve"> </w:t>
      </w:r>
      <w:r>
        <w:t xml:space="preserve">Ihr formaler Nachweis erfolgt über den NFA-01-Lasttest (noch durchzuführen, vgl. §12).</w:t>
      </w:r>
    </w:p>
    <w:p>
      <w:r>
        <w:pict>
          <v:rect style="width:0;height:1.5pt" o:hralign="center" o:hrstd="t" o:hr="t"/>
        </w:pict>
      </w:r>
    </w:p>
    <w:bookmarkEnd w:id="83"/>
    <w:bookmarkEnd w:id="84"/>
    <w:bookmarkStart w:id="90" w:name="datenmodell"/>
    <w:p>
      <w:pPr>
        <w:pStyle w:val="Heading2"/>
      </w:pPr>
      <w:r>
        <w:t xml:space="preserve">11. Datenmodell</w:t>
      </w:r>
    </w:p>
    <w:p>
      <w:pPr>
        <w:pStyle w:val="FirstParagraph"/>
      </w:pPr>
      <w:r>
        <w:t xml:space="preserve">Rein relational (PostgreSQL) —</w:t>
      </w:r>
      <w:r>
        <w:t xml:space="preserve"> </w:t>
      </w:r>
      <w:r>
        <w:rPr>
          <w:b/>
          <w:bCs/>
        </w:rPr>
        <w:t xml:space="preserve">keine Vektor-DB</w:t>
      </w:r>
      <w:r>
        <w:t xml:space="preserve">: der KI-Input ist strukturierte Numerik (Statistiken + Metadaten), passt in einen Prompt-Context und braucht keine Embedding-Schicht (Begründung ADR-10; für V2 neu bewertet).</w:t>
      </w:r>
    </w:p>
    <w:p>
      <w:pPr>
        <w:pStyle w:val="CaptionedFigure"/>
      </w:pPr>
      <w:r>
        <w:drawing>
          <wp:inline>
            <wp:extent cx="5334000" cy="4376115"/>
            <wp:effectExtent b="0" l="0" r="0" t="0"/>
            <wp:docPr descr="TSaS – Datenmodell" title="" id="86" name="Picture"/>
            <a:graphic>
              <a:graphicData uri="http://schemas.openxmlformats.org/drawingml/2006/picture">
                <pic:pic>
                  <pic:nvPicPr>
                    <pic:cNvPr descr="Datenmodell.png" id="87" name="Picture"/>
                    <pic:cNvPicPr>
                      <a:picLocks noChangeArrowheads="1" noChangeAspect="1"/>
                    </pic:cNvPicPr>
                  </pic:nvPicPr>
                  <pic:blipFill>
                    <a:blip r:embed="rId85"/>
                    <a:stretch>
                      <a:fillRect/>
                    </a:stretch>
                  </pic:blipFill>
                  <pic:spPr bwMode="auto">
                    <a:xfrm>
                      <a:off x="0" y="0"/>
                      <a:ext cx="5334000" cy="4376115"/>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88">
        <w:r>
          <w:rPr>
            <w:rStyle w:val="VerbatimChar"/>
            <w:i/>
            <w:iCs/>
          </w:rPr>
          <w:t xml:space="preserve">diagrams/TSaS_Datenmodell.drawio</w:t>
        </w:r>
      </w:hyperlink>
      <w:r>
        <w:rPr>
          <w:i/>
          <w:iCs/>
        </w:rPr>
        <w:t xml:space="preserve">. Authoritatives Schema: Flyway</w:t>
      </w:r>
      <w:r>
        <w:rPr>
          <w:i/>
          <w:iCs/>
        </w:rPr>
        <w:t xml:space="preserve"> </w:t>
      </w:r>
      <w:r>
        <w:rPr>
          <w:b/>
          <w:bCs/>
          <w:i/>
          <w:iCs/>
        </w:rPr>
        <w:t xml:space="preserve">V1–V10</w:t>
      </w:r>
      <w:r>
        <w:rPr>
          <w:i/>
          <w:iCs/>
        </w:rPr>
        <w:t xml:space="preserve">. Das Diagramm zeigt die Kernentitäten inkl.</w:t>
      </w:r>
      <w:r>
        <w:rPr>
          <w:i/>
          <w:iCs/>
        </w:rPr>
        <w:t xml:space="preserve"> </w:t>
      </w:r>
      <w:r>
        <w:rPr>
          <w:rStyle w:val="VerbatimChar"/>
          <w:i/>
          <w:iCs/>
        </w:rPr>
        <w:t xml:space="preserve">match_player_notes</w:t>
      </w:r>
      <w:r>
        <w:rPr>
          <w:i/>
          <w:iCs/>
        </w:rPr>
        <w:t xml:space="preserve"> </w:t>
      </w:r>
      <w:r>
        <w:rPr>
          <w:i/>
          <w:iCs/>
        </w:rPr>
        <w:t xml:space="preserve">(V10); querschnittliche Spalten (V6–V10) und</w:t>
      </w:r>
      <w:r>
        <w:rPr>
          <w:i/>
          <w:iCs/>
        </w:rPr>
        <w:t xml:space="preserve"> </w:t>
      </w:r>
      <w:r>
        <w:rPr>
          <w:rStyle w:val="VerbatimChar"/>
          <w:i/>
          <w:iCs/>
        </w:rPr>
        <w:t xml:space="preserve">user_preferences</w:t>
      </w:r>
      <w:r>
        <w:rPr>
          <w:i/>
          <w:iCs/>
        </w:rPr>
        <w:t xml:space="preserve"> </w:t>
      </w:r>
      <w:r>
        <w:rPr>
          <w:i/>
          <w:iCs/>
        </w:rPr>
        <w:t xml:space="preserve">sind unten beschrieben.</w:t>
      </w:r>
    </w:p>
    <w:bookmarkStart w:id="89"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w:t>
            </w:r>
            <w:r>
              <w:t xml:space="preserve"> </w:t>
            </w:r>
            <w:r>
              <w:rPr>
                <w:rStyle w:val="VerbatimChar"/>
              </w:rPr>
              <w:t xml:space="preserve">active</w:t>
            </w:r>
            <w:r>
              <w:t xml:space="preserve">-Flag erlaubt Soft-Delete beteiligter Spieler (FA-13).</w:t>
            </w:r>
          </w:p>
        </w:tc>
      </w:tr>
      <w:tr>
        <w:tc>
          <w:tcPr/>
          <w:p>
            <w:pPr>
              <w:pStyle w:val="Compact"/>
            </w:pPr>
            <w:r>
              <w:rPr>
                <w:rStyle w:val="VerbatimChar"/>
              </w:rPr>
              <w:t xml:space="preserve">matches</w:t>
            </w:r>
          </w:p>
        </w:tc>
        <w:tc>
          <w:tcPr/>
          <w:p>
            <w:pPr>
              <w:pStyle w:val="Compact"/>
            </w:pPr>
            <w:r>
              <w:t xml:space="preserve">Begegnungen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Stand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Einstand-/Vorteil-Flags,</w:t>
            </w:r>
            <w:r>
              <w:t xml:space="preserve"> </w:t>
            </w:r>
            <w:r>
              <w:rPr>
                <w:rStyle w:val="VerbatimChar"/>
              </w:rPr>
              <w:t xml:space="preserve">current_set</w:t>
            </w:r>
            <w:r>
              <w:t xml:space="preserve">,</w:t>
            </w:r>
            <w:r>
              <w:t xml:space="preserve"> </w:t>
            </w:r>
            <w:r>
              <w:rPr>
                <w:rStyle w:val="VerbatimChar"/>
              </w:rPr>
              <w:t xml:space="preserve">serving_player</w:t>
            </w:r>
            <w:r>
              <w:t xml:space="preserve"> </w:t>
            </w:r>
            <w:r>
              <w:t xml:space="preserve">(FA-16), Ace-Zähler,</w:t>
            </w:r>
            <w:r>
              <w:t xml:space="preserve"> </w:t>
            </w:r>
            <w:r>
              <w:rPr>
                <w:rStyle w:val="VerbatimChar"/>
              </w:rPr>
              <w:t xml:space="preserve">is_done</w:t>
            </w:r>
            <w:r>
              <w:t xml:space="preserve"> </w:t>
            </w:r>
            <w:r>
              <w:t xml:space="preserve">+</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Einzelpunkte (1:n zu</w:t>
            </w:r>
            <w:r>
              <w:t xml:space="preserve"> </w:t>
            </w:r>
            <w:r>
              <w:rPr>
                <w:rStyle w:val="VerbatimChar"/>
              </w:rPr>
              <w:t xml:space="preserve">matches</w:t>
            </w:r>
            <w:r>
              <w:t xml:space="preserve">): Satz-/Spiel-/Punktnummer, Gewinner, Punkt-/Schlag-/Richtungstyp, Aufschläger, Break-Point-Flag, Aufschlagversuch, Bemerkung, Zeitstempel.</w:t>
            </w:r>
          </w:p>
        </w:tc>
      </w:tr>
      <w:tr>
        <w:tc>
          <w:tcPr/>
          <w:p>
            <w:pPr>
              <w:pStyle w:val="Compact"/>
            </w:pPr>
            <w:r>
              <w:rPr>
                <w:rStyle w:val="VerbatimChar"/>
              </w:rPr>
              <w:t xml:space="preserve">match_analysis</w:t>
            </w:r>
          </w:p>
        </w:tc>
        <w:tc>
          <w:tcPr/>
          <w:p>
            <w:pPr>
              <w:pStyle w:val="Compact"/>
            </w:pPr>
            <w:r>
              <w:t xml:space="preserve">KI-Analyse (1:1,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5 Textfelder, JSON-Empfehlungsliste, verwendetes Modell, Generierungszeit, Fehlermeldung.</w:t>
            </w:r>
          </w:p>
        </w:tc>
      </w:tr>
      <w:tr>
        <w:tc>
          <w:tcPr/>
          <w:p>
            <w:pPr>
              <w:pStyle w:val="Compact"/>
            </w:pPr>
            <w:r>
              <w:rPr>
                <w:rStyle w:val="VerbatimChar"/>
              </w:rPr>
              <w:t xml:space="preserve">user_preferences</w:t>
            </w:r>
          </w:p>
        </w:tc>
        <w:tc>
          <w:tcPr/>
          <w:p>
            <w:pPr>
              <w:pStyle w:val="Compact"/>
            </w:pPr>
            <w:r>
              <w:t xml:space="preserve">Pro-Nutzer-Sprache (V9, FA-21). PK = Keycloak-</w:t>
            </w:r>
            <w:r>
              <w:rPr>
                <w:rStyle w:val="VerbatimChar"/>
              </w:rPr>
              <w:t xml:space="preserve">sub</w:t>
            </w:r>
            <w:r>
              <w:t xml:space="preserve"> </w:t>
            </w:r>
            <w:r>
              <w:t xml:space="preserve">(</w:t>
            </w:r>
            <w:r>
              <w:rPr>
                <w:rStyle w:val="VerbatimChar"/>
              </w:rPr>
              <w:t xml:space="preserve">user_id</w:t>
            </w:r>
            <w:r>
              <w:t xml:space="preserve">);</w:t>
            </w:r>
            <w:r>
              <w:t xml:space="preserve"> </w:t>
            </w:r>
            <w:r>
              <w:rPr>
                <w:rStyle w:val="VerbatimChar"/>
              </w:rPr>
              <w:t xml:space="preserve">language</w:t>
            </w:r>
            <w:r>
              <w:t xml:space="preserve"> </w:t>
            </w:r>
            <w:r>
              <w:t xml:space="preserve">(</w:t>
            </w:r>
            <w:r>
              <w:rPr>
                <w:rStyle w:val="VerbatimChar"/>
              </w:rPr>
              <w:t xml:space="preserve">VARCHAR(2)</w:t>
            </w:r>
            <w:r>
              <w:t xml:space="preserve">, Default</w:t>
            </w:r>
            <w:r>
              <w:t xml:space="preserve"> </w:t>
            </w:r>
            <w:r>
              <w:rPr>
                <w:rStyle w:val="VerbatimChar"/>
              </w:rPr>
              <w:t xml:space="preserve">de</w:t>
            </w:r>
            <w:r>
              <w:t xml:space="preserve">,</w:t>
            </w:r>
            <w:r>
              <w:t xml:space="preserve"> </w:t>
            </w:r>
            <w:r>
              <w:rPr>
                <w:rStyle w:val="VerbatimChar"/>
              </w:rPr>
              <w:t xml:space="preserve">CHECK</w:t>
            </w:r>
            <w:r>
              <w:t xml:space="preserve"> </w:t>
            </w:r>
            <w:r>
              <w:t xml:space="preserve">auf</w:t>
            </w:r>
            <w:r>
              <w:t xml:space="preserve"> </w:t>
            </w:r>
            <w:r>
              <w:rPr>
                <w:rStyle w:val="VerbatimChar"/>
              </w:rPr>
              <w:t xml:space="preserve">de/en/it/fr</w:t>
            </w:r>
            <w:r>
              <w:t xml:space="preserve">),</w:t>
            </w:r>
            <w:r>
              <w:t xml:space="preserve"> </w:t>
            </w:r>
            <w:r>
              <w:rPr>
                <w:rStyle w:val="VerbatimChar"/>
              </w:rPr>
              <w:t xml:space="preserve">updated_at</w:t>
            </w:r>
            <w:r>
              <w:t xml:space="preserve">. Keine FK — Verknüpfung über JWT-Identität.</w:t>
            </w:r>
          </w:p>
        </w:tc>
      </w:tr>
      <w:tr>
        <w:tc>
          <w:tcPr/>
          <w:p>
            <w:pPr>
              <w:pStyle w:val="Compact"/>
            </w:pPr>
            <w:r>
              <w:rPr>
                <w:rStyle w:val="VerbatimChar"/>
              </w:rPr>
              <w:t xml:space="preserve">match_player_notes</w:t>
            </w:r>
          </w:p>
        </w:tc>
        <w:tc>
          <w:tcPr/>
          <w:p>
            <w:pPr>
              <w:pStyle w:val="Compact"/>
            </w:pPr>
            <w:r>
              <w:t xml:space="preserve">Coach-Notizen je Spieler/Match (V10, FA-22): eine Notiz pro</w:t>
            </w:r>
            <w:r>
              <w:t xml:space="preserve"> </w:t>
            </w:r>
            <w:r>
              <w:rPr>
                <w:rStyle w:val="VerbatimChar"/>
              </w:rPr>
              <w:t xml:space="preserve">UNIQUE(match_id, player_id)</w:t>
            </w:r>
            <w:r>
              <w:t xml:space="preserve">.</w:t>
            </w:r>
            <w:r>
              <w:t xml:space="preserve"> </w:t>
            </w:r>
            <w:r>
              <w:rPr>
                <w:rStyle w:val="VerbatimChar"/>
              </w:rPr>
              <w:t xml:space="preserve">note</w:t>
            </w:r>
            <w:r>
              <w:t xml:space="preserve"> </w:t>
            </w:r>
            <w:r>
              <w:t xml:space="preserve">(</w:t>
            </w:r>
            <w:r>
              <w:rPr>
                <w:rStyle w:val="VerbatimChar"/>
              </w:rPr>
              <w:t xml:space="preserve">VARCHAR(2000)</w:t>
            </w:r>
            <w:r>
              <w:t xml:space="preserve">), FK</w:t>
            </w:r>
            <w:r>
              <w:t xml:space="preserve"> </w:t>
            </w:r>
            <w:r>
              <w:rPr>
                <w:rStyle w:val="VerbatimChar"/>
              </w:rPr>
              <w:t xml:space="preserve">match_id</w:t>
            </w:r>
            <w:r>
              <w:t xml:space="preserve"> </w:t>
            </w:r>
            <w:r>
              <w:t xml:space="preserve">→</w:t>
            </w:r>
            <w:r>
              <w:t xml:space="preserve"> </w:t>
            </w:r>
            <w:r>
              <w:rPr>
                <w:rStyle w:val="VerbatimChar"/>
              </w:rPr>
              <w:t xml:space="preserve">matches</w:t>
            </w:r>
            <w:r>
              <w:t xml:space="preserve"> </w:t>
            </w:r>
            <w:r>
              <w:t xml:space="preserve">(</w:t>
            </w:r>
            <w:r>
              <w:rPr>
                <w:rStyle w:val="VerbatimChar"/>
              </w:rPr>
              <w:t xml:space="preserve">ON DELETE CASCADE</w:t>
            </w:r>
            <w:r>
              <w:t xml:space="preserve">),</w:t>
            </w:r>
            <w:r>
              <w:t xml:space="preserve"> </w:t>
            </w:r>
            <w:r>
              <w:rPr>
                <w:rStyle w:val="VerbatimChar"/>
              </w:rPr>
              <w:t xml:space="preserve">player_id</w:t>
            </w:r>
            <w:r>
              <w:t xml:space="preserve"> </w:t>
            </w:r>
            <w:r>
              <w:t xml:space="preserve">→</w:t>
            </w:r>
            <w:r>
              <w:t xml:space="preserve"> </w:t>
            </w:r>
            <w:r>
              <w:rPr>
                <w:rStyle w:val="VerbatimChar"/>
              </w:rPr>
              <w:t xml:space="preserve">players</w:t>
            </w:r>
            <w:r>
              <w:t xml:space="preserve">, Index auf</w:t>
            </w:r>
            <w:r>
              <w:t xml:space="preserve"> </w:t>
            </w:r>
            <w:r>
              <w:rPr>
                <w:rStyle w:val="VerbatimChar"/>
              </w:rPr>
              <w:t xml:space="preserve">player_id</w:t>
            </w:r>
            <w:r>
              <w:t xml:space="preserve">, Audit-Spalten. Notizen fliessen als Kontext in FA-11/FA-20.</w:t>
            </w:r>
          </w:p>
        </w:tc>
      </w:tr>
    </w:tbl>
    <w:p>
      <w:pPr>
        <w:pStyle w:val="BodyText"/>
      </w:pPr>
      <w:r>
        <w:rPr>
          <w:b/>
          <w:bCs/>
        </w:rPr>
        <w:t xml:space="preserve">Querschnittliche Spalten</w:t>
      </w:r>
      <w:r>
        <w:t xml:space="preserve"> </w:t>
      </w:r>
      <w:r>
        <w:rPr>
          <w:rStyle w:val="VerbatimChar"/>
        </w:rPr>
        <w:t xml:space="preserve">owner_id</w:t>
      </w:r>
      <w:r>
        <w:t xml:space="preserve"> </w:t>
      </w:r>
      <w:r>
        <w:t xml:space="preserve">auf</w:t>
      </w:r>
      <w:r>
        <w:t xml:space="preserve"> </w:t>
      </w:r>
      <w:r>
        <w:rPr>
          <w:rStyle w:val="VerbatimChar"/>
        </w:rPr>
        <w:t xml:space="preserve">players</w:t>
      </w:r>
      <w:r>
        <w:t xml:space="preserve">/</w:t>
      </w:r>
      <w:r>
        <w:rPr>
          <w:rStyle w:val="VerbatimChar"/>
        </w:rPr>
        <w:t xml:space="preserve">matches</w:t>
      </w:r>
      <w:r>
        <w:t xml:space="preserve"> </w:t>
      </w:r>
      <w:r>
        <w:t xml:space="preserve">(V6, Owner-Bindung/RBAC, je mit Index);</w:t>
      </w:r>
      <w:r>
        <w:t xml:space="preserve"> </w:t>
      </w:r>
      <w:r>
        <w:t xml:space="preserve">Audit-Spalten</w:t>
      </w:r>
      <w:r>
        <w:t xml:space="preserve"> </w:t>
      </w:r>
      <w:r>
        <w:rPr>
          <w:rStyle w:val="VerbatimChar"/>
        </w:rPr>
        <w:t xml:space="preserve">created_at/created_by/updated_at/updated_by</w:t>
      </w:r>
      <w:r>
        <w:t xml:space="preserve"> </w:t>
      </w:r>
      <w:r>
        <w:t xml:space="preserve">auf</w:t>
      </w:r>
      <w:r>
        <w:t xml:space="preserve"> </w:t>
      </w:r>
      <w:r>
        <w:rPr>
          <w:rStyle w:val="VerbatimChar"/>
        </w:rPr>
        <w:t xml:space="preserve">players</w:t>
      </w:r>
      <w:r>
        <w:t xml:space="preserve">/</w:t>
      </w:r>
      <w:r>
        <w:rPr>
          <w:rStyle w:val="VerbatimChar"/>
        </w:rPr>
        <w:t xml:space="preserve">matches</w:t>
      </w:r>
      <w:r>
        <w:t xml:space="preserve">/</w:t>
      </w:r>
      <w:r>
        <w:rPr>
          <w:rStyle w:val="VerbatimChar"/>
        </w:rPr>
        <w:t xml:space="preserve">points</w:t>
      </w:r>
      <w:r>
        <w:t xml:space="preserve"> </w:t>
      </w:r>
      <w:r>
        <w:t xml:space="preserve">(V7, bewusst nullable für Auth-Context-freie Schreiber) und</w:t>
      </w:r>
      <w:r>
        <w:t xml:space="preserve"> </w:t>
      </w:r>
      <w:r>
        <w:t xml:space="preserve">auf</w:t>
      </w:r>
      <w:r>
        <w:t xml:space="preserve"> </w:t>
      </w:r>
      <w:r>
        <w:rPr>
          <w:rStyle w:val="VerbatimChar"/>
        </w:rPr>
        <w:t xml:space="preserve">match_player_notes</w:t>
      </w:r>
      <w:r>
        <w:t xml:space="preserve"> </w:t>
      </w:r>
      <w:r>
        <w:t xml:space="preserve">(V10); V8 zieht</w:t>
      </w:r>
      <w:r>
        <w:t xml:space="preserve"> </w:t>
      </w:r>
      <w:r>
        <w:rPr>
          <w:rStyle w:val="VerbatimChar"/>
        </w:rPr>
        <w:t xml:space="preserve">NOT NULL</w:t>
      </w:r>
      <w:r>
        <w:t xml:space="preserve"> </w:t>
      </w:r>
      <w:r>
        <w:t xml:space="preserve">der primitiven</w:t>
      </w:r>
      <w:r>
        <w:t xml:space="preserve"> </w:t>
      </w:r>
      <w:r>
        <w:rPr>
          <w:rStyle w:val="VerbatimChar"/>
        </w:rPr>
        <w:t xml:space="preserve">match_scores</w:t>
      </w:r>
      <w:r>
        <w:t xml:space="preserve">-Spalten nach.</w:t>
      </w:r>
      <w:r>
        <w:t xml:space="preserve"> </w:t>
      </w:r>
      <w:r>
        <w:t xml:space="preserve">Diese Spalten dienen Mandanten-Trennung und Nachvollziehbarkeit und sind im ER-Diagramm nicht einzeln dargestellt.</w:t>
      </w:r>
    </w:p>
    <w:p>
      <w:pPr>
        <w:pStyle w:val="Body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werden zur Laufzeit aus</w:t>
      </w:r>
      <w:r>
        <w:t xml:space="preserve"> </w:t>
      </w:r>
      <w:r>
        <w:rPr>
          <w:rStyle w:val="VerbatimChar"/>
        </w:rPr>
        <w:t xml:space="preserve">points</w:t>
      </w:r>
      <w:r>
        <w:t xml:space="preserve"> </w:t>
      </w:r>
      <w:r>
        <w:t xml:space="preserve">berechnet (keine</w:t>
      </w:r>
      <w:r>
        <w:t xml:space="preserve"> </w:t>
      </w:r>
      <w:r>
        <w:rPr>
          <w:rStyle w:val="VerbatimChar"/>
        </w:rPr>
        <w:t xml:space="preserve">match_set</w:t>
      </w:r>
      <w:r>
        <w:t xml:space="preserve">-/</w:t>
      </w:r>
      <w:r>
        <w:rPr>
          <w:rStyle w:val="VerbatimChar"/>
        </w:rPr>
        <w:t xml:space="preserve">match_stats</w:t>
      </w:r>
      <w:r>
        <w:t xml:space="preserve">-Tabelle).</w:t>
      </w:r>
    </w:p>
    <w:p>
      <w:r>
        <w:pict>
          <v:rect style="width:0;height:1.5pt" o:hralign="center" o:hrstd="t" o:hr="t"/>
        </w:pict>
      </w:r>
    </w:p>
    <w:bookmarkEnd w:id="89"/>
    <w:bookmarkEnd w:id="90"/>
    <w:bookmarkStart w:id="91"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Frontend/Backend bereits getrennt; Backend horizontal skalierbar, Nginx dann als Load Balancer.</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Hoher Konfigurationsaufwand; Fehlkonfiguration kann Sicherheitslücken öffnen.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w:t>
            </w:r>
          </w:p>
        </w:tc>
        <w:tc>
          <w:tcPr/>
          <w:p>
            <w:pPr>
              <w:pStyle w:val="Compact"/>
            </w:pPr>
            <w:r>
              <w:t xml:space="preserve">V4-Integration hängt von Verfügbarkeit/Genehmigung ab. Fallback: manuelle 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Statistik-Berechnungen könnten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Native iOS-App (V2) = doppeltes Frontend. Alternative: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Manueller Trigger + Persistenz (eine Analyse/Match) + Mindest-Punktzahl (≥ 10) begrenzen das Volumen;</w:t>
            </w:r>
            <w:r>
              <w:t xml:space="preserve"> </w:t>
            </w:r>
            <w:r>
              <w:rPr>
                <w:rStyle w:val="VerbatimChar"/>
              </w:rPr>
              <w:t xml:space="preserve">gpt-4o-mini</w:t>
            </w:r>
            <w:r>
              <w:t xml:space="preserve"> </w:t>
            </w:r>
            <w:r>
              <w:t xml:space="preserve">Default; Wechsel auf lokales LLM via</w:t>
            </w:r>
            <w:r>
              <w:t xml:space="preserve"> </w:t>
            </w:r>
            <w:r>
              <w:rPr>
                <w:rStyle w:val="VerbatimChar"/>
              </w:rPr>
              <w:t xml:space="preserve">LlmClientPort</w:t>
            </w:r>
            <w:r>
              <w:t xml:space="preserve"> </w:t>
            </w:r>
            <w:r>
              <w:t xml:space="preserve">möglich.</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w:t>
            </w:r>
          </w:p>
        </w:tc>
        <w:tc>
          <w:tcPr/>
          <w:p>
            <w:pPr>
              <w:pStyle w:val="Compact"/>
            </w:pPr>
            <w:r>
              <w:t xml:space="preserve">Spring AI 2.0.x im Milestone-Status (</w:t>
            </w:r>
            <w:r>
              <w:rPr>
                <w:rStyle w:val="VerbatimChar"/>
              </w:rPr>
              <w:t xml:space="preserve">2.0.0-M6</w:t>
            </w:r>
            <w:r>
              <w:t xml:space="preserve">) — Breaking-Change-Risiko vor GA. Mitigation: dünner Adapter, GA-Umstellung voraussichtlich trivial.</w:t>
            </w:r>
          </w:p>
        </w:tc>
      </w:tr>
      <w:tr>
        <w:tc>
          <w:tcPr/>
          <w:p>
            <w:pPr>
              <w:pStyle w:val="Compact"/>
            </w:pPr>
            <w:r>
              <w:t xml:space="preserve">R-08</w:t>
            </w:r>
          </w:p>
        </w:tc>
        <w:tc>
          <w:tcPr/>
          <w:p>
            <w:pPr>
              <w:pStyle w:val="Compact"/>
            </w:pPr>
            <w:r>
              <w:t xml:space="preserve">Niedrig</w:t>
            </w:r>
          </w:p>
        </w:tc>
        <w:tc>
          <w:tcPr/>
          <w:p>
            <w:pPr>
              <w:pStyle w:val="Compact"/>
            </w:pPr>
            <w:r>
              <w:rPr>
                <w:b/>
                <w:bCs/>
              </w:rPr>
              <w:t xml:space="preserve">Lasttest ausstehend</w:t>
            </w:r>
          </w:p>
        </w:tc>
        <w:tc>
          <w:tcPr/>
          <w:p>
            <w:pPr>
              <w:pStyle w:val="Compact"/>
            </w:pPr>
            <w:r>
              <w:t xml:space="preserve">Antwortzeit-/Skalierbarkeitsziele (QZ-03/04/06, NFA-01) sind spezifiziert, aber noch nicht formal per Lasttest nachgewiesen. Nachweis via k6/JMeter (100 Nutzer, p95: Write ≤ 250 ms, Read ≤ 500 ms, Degradation ≤ 20 %). Offen als Ticket</w:t>
            </w:r>
            <w:r>
              <w:t xml:space="preserve"> </w:t>
            </w:r>
            <w:r>
              <w:rPr>
                <w:b/>
                <w:bCs/>
              </w:rPr>
              <w:t xml:space="preserve">TEN-69</w:t>
            </w:r>
            <w:r>
              <w:t xml:space="preserve">.</w:t>
            </w:r>
          </w:p>
        </w:tc>
      </w:tr>
    </w:tbl>
    <w:p>
      <w:r>
        <w:pict>
          <v:rect style="width:0;height:1.5pt" o:hralign="center" o:hrstd="t" o:hr="t"/>
        </w:pict>
      </w:r>
    </w:p>
    <w:bookmarkEnd w:id="91"/>
    <w:bookmarkStart w:id="95" w:name="ki-werkzeuge-im-projekt"/>
    <w:p>
      <w:pPr>
        <w:pStyle w:val="Heading2"/>
      </w:pPr>
      <w:r>
        <w:t xml:space="preserve">13. KI-Werkzeuge im Projekt</w:t>
      </w:r>
    </w:p>
    <w:bookmarkStart w:id="92"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 als Hauptmodell; Sonnet 4.6 für Subagents (Superpowers)</w:t>
            </w:r>
          </w:p>
        </w:tc>
        <w:tc>
          <w:tcPr/>
          <w:p>
            <w:pPr>
              <w:pStyle w:val="Compact"/>
            </w:pPr>
            <w:r>
              <w:t xml:space="preserve">Spezifikation, Planung, Implementierung, Review</w:t>
            </w:r>
          </w:p>
        </w:tc>
      </w:tr>
      <w:tr>
        <w:tc>
          <w:tcPr/>
          <w:p>
            <w:pPr>
              <w:pStyle w:val="Compact"/>
            </w:pPr>
            <w:r>
              <w:t xml:space="preserve">Superpowers Skill-Suite</w:t>
            </w:r>
          </w:p>
        </w:tc>
        <w:tc>
          <w:tcPr/>
          <w:p>
            <w:pPr>
              <w:pStyle w:val="Compact"/>
            </w:pPr>
            <w:r>
              <w:t xml:space="preserve">brainstorming, writing-plans, subagent-driven-development, …</w:t>
            </w:r>
          </w:p>
        </w:tc>
        <w:tc>
          <w:tcPr/>
          <w:p>
            <w:pPr>
              <w:pStyle w:val="Compact"/>
            </w:pPr>
            <w:r>
              <w:t xml:space="preserve">Strukturierter Spec → Plan → Implementierungs-Workflow</w:t>
            </w:r>
          </w:p>
        </w:tc>
      </w:tr>
      <w:tr>
        <w:tc>
          <w:tcPr/>
          <w:p>
            <w:pPr>
              <w:pStyle w:val="Compact"/>
            </w:pPr>
            <w:r>
              <w:rPr>
                <w:rStyle w:val="VerbatimChar"/>
              </w:rPr>
              <w:t xml:space="preserve">pr-review-toolkit</w:t>
            </w:r>
            <w:r>
              <w:t xml:space="preserve"> </w:t>
            </w:r>
            <w:r>
              <w:t xml:space="preserve">/</w:t>
            </w:r>
            <w:r>
              <w:t xml:space="preserve"> </w:t>
            </w:r>
            <w:r>
              <w:rPr>
                <w:rStyle w:val="VerbatimChar"/>
              </w:rPr>
              <w:t xml:space="preserve">/code-review ultra</w:t>
            </w:r>
          </w:p>
        </w:tc>
        <w:tc>
          <w:tcPr/>
          <w:p>
            <w:pPr>
              <w:pStyle w:val="Compact"/>
            </w:pPr>
            <w:r>
              <w:t xml:space="preserve">Multi-Agent-Review</w:t>
            </w:r>
          </w:p>
        </w:tc>
        <w:tc>
          <w:tcPr/>
          <w:p>
            <w:pPr>
              <w:pStyle w:val="Compact"/>
            </w:pPr>
            <w:r>
              <w:t xml:space="preserve">Codeüberprüfung vor Merge</w:t>
            </w:r>
          </w:p>
        </w:tc>
      </w:tr>
      <w:tr>
        <w:tc>
          <w:tcPr/>
          <w:p>
            <w:pPr>
              <w:pStyle w:val="Compact"/>
            </w:pPr>
            <w:r>
              <w:t xml:space="preserve">Context7 MCP</w:t>
            </w:r>
          </w:p>
        </w:tc>
        <w:tc>
          <w:tcPr/>
          <w:p>
            <w:pPr>
              <w:pStyle w:val="Compact"/>
            </w:pPr>
            <w:r>
              <w:t xml:space="preserve">–</w:t>
            </w:r>
          </w:p>
        </w:tc>
        <w:tc>
          <w:tcPr/>
          <w:p>
            <w:pPr>
              <w:pStyle w:val="Compact"/>
            </w:pPr>
            <w:r>
              <w:t xml:space="preserve">Doc-Recherche (Spring AI, springdoc, Testcontainers)</w:t>
            </w:r>
          </w:p>
        </w:tc>
      </w:tr>
      <w:tr>
        <w:tc>
          <w:tcPr/>
          <w:p>
            <w:pPr>
              <w:pStyle w:val="Compact"/>
            </w:pPr>
            <w:r>
              <w:t xml:space="preserve">GitHub MCP</w:t>
            </w:r>
          </w:p>
        </w:tc>
        <w:tc>
          <w:tcPr/>
          <w:p>
            <w:pPr>
              <w:pStyle w:val="Compact"/>
            </w:pPr>
            <w:r>
              <w:t xml:space="preserve">–</w:t>
            </w:r>
          </w:p>
        </w:tc>
        <w:tc>
          <w:tcPr/>
          <w:p>
            <w:pPr>
              <w:pStyle w:val="Compact"/>
            </w:pPr>
            <w:r>
              <w:t xml:space="preserve">PR-/Issue-Verwaltung, Branch-Operationen</w:t>
            </w:r>
          </w:p>
        </w:tc>
      </w:tr>
    </w:tbl>
    <w:bookmarkEnd w:id="92"/>
    <w:bookmarkStart w:id="93" w:name="einsatz-pro-phase"/>
    <w:p>
      <w:pPr>
        <w:pStyle w:val="Heading3"/>
      </w:pPr>
      <w:r>
        <w:t xml:space="preserve">13.2 Einsatz pro Phase</w:t>
      </w:r>
    </w:p>
    <w:p>
      <w:pPr>
        <w:pStyle w:val="Compact"/>
        <w:numPr>
          <w:ilvl w:val="0"/>
          <w:numId w:val="1011"/>
        </w:numPr>
      </w:pPr>
      <w:r>
        <w:rPr>
          <w:b/>
          <w:bCs/>
        </w:rPr>
        <w:t xml:space="preserve">Generierung.</w:t>
      </w:r>
      <w:r>
        <w:t xml:space="preserve"> </w:t>
      </w:r>
      <w:r>
        <w:t xml:space="preserve">Jede grössere Änderung folgt der Reihenfolge</w:t>
      </w:r>
      <w:r>
        <w:t xml:space="preserve"> </w:t>
      </w:r>
      <w:r>
        <w:rPr>
          <w:rStyle w:val="VerbatimChar"/>
        </w:rPr>
        <w:t xml:space="preserve">Brainstorming → Spec → Plan → Implementierung mit TDD</w:t>
      </w:r>
      <w:r>
        <w:t xml:space="preserve">. Spec-/Plan-Dokumente unter</w:t>
      </w:r>
      <w:r>
        <w:t xml:space="preserve"> </w:t>
      </w:r>
      <w:r>
        <w:rPr>
          <w:rStyle w:val="VerbatimChar"/>
        </w:rPr>
        <w:t xml:space="preserve">docs/superpowers/specs/</w:t>
      </w:r>
      <w:r>
        <w:t xml:space="preserve"> </w:t>
      </w:r>
      <w:r>
        <w:t xml:space="preserve">bzw.</w:t>
      </w:r>
      <w:r>
        <w:t xml:space="preserve"> </w:t>
      </w:r>
      <w:r>
        <w:rPr>
          <w:rStyle w:val="VerbatimChar"/>
        </w:rPr>
        <w:t xml:space="preserve">…/plans/</w:t>
      </w:r>
      <w:r>
        <w:t xml:space="preserve"> </w:t>
      </w:r>
      <w:r>
        <w:t xml:space="preserve">(je mit dem TEN-Ticket im Namen), z. B. AI-Postmortem (FA-11), Bean-Validation (TEN-60), Owner-Binding/RBAC (TEN-55).</w:t>
      </w:r>
    </w:p>
    <w:p>
      <w:pPr>
        <w:pStyle w:val="Compact"/>
        <w:numPr>
          <w:ilvl w:val="0"/>
          <w:numId w:val="1011"/>
        </w:numPr>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bzw.</w:t>
      </w:r>
      <w:r>
        <w:t xml:space="preserve"> </w:t>
      </w:r>
      <w:r>
        <w:rPr>
          <w:rStyle w:val="VerbatimChar"/>
        </w:rPr>
        <w:t xml:space="preserve">pr-review-toolkit:review-pr</w:t>
      </w:r>
      <w:r>
        <w:t xml:space="preserve"> </w:t>
      </w:r>
      <w:r>
        <w:t xml:space="preserve">(Multi-Agent-Fan-out) gegen das Diff. Der KI-Selbst-Audit</w:t>
      </w:r>
      <w:r>
        <w:t xml:space="preserve"> </w:t>
      </w:r>
      <w:r>
        <w:rPr>
          <w:rStyle w:val="VerbatimChar"/>
        </w:rPr>
        <w:t xml:space="preserve">Code-Pruefung_Kriterien_7_und_8.md</w:t>
      </w:r>
      <w:r>
        <w:t xml:space="preserve"> </w:t>
      </w:r>
      <w:r>
        <w:t xml:space="preserve">identifizierte Lücken, die in ADR-12, ADR-13 und</w:t>
      </w:r>
      <w:r>
        <w:t xml:space="preserve"> </w:t>
      </w:r>
      <w:r>
        <w:rPr>
          <w:rStyle w:val="VerbatimChar"/>
        </w:rPr>
        <w:t xml:space="preserve">ArchitectureTest</w:t>
      </w:r>
      <w:r>
        <w:t xml:space="preserve"> </w:t>
      </w:r>
      <w:r>
        <w:t xml:space="preserve">adressiert wurden.</w:t>
      </w:r>
    </w:p>
    <w:p>
      <w:pPr>
        <w:pStyle w:val="Compact"/>
        <w:numPr>
          <w:ilvl w:val="0"/>
          <w:numId w:val="1011"/>
        </w:numPr>
      </w:pPr>
      <w:r>
        <w:rPr>
          <w:b/>
          <w:bCs/>
        </w:rPr>
        <w:t xml:space="preserve">Refactoring.</w:t>
      </w:r>
      <w:r>
        <w:t xml:space="preserve"> </w:t>
      </w:r>
      <w:r>
        <w:t xml:space="preserve">Spec-getriebene Cleanups mit TDD (z. B. TEN-60 typed enums +</w:t>
      </w:r>
      <w:r>
        <w:t xml:space="preserve"> </w:t>
      </w:r>
      <w:r>
        <w:rPr>
          <w:rStyle w:val="VerbatimChar"/>
        </w:rPr>
        <w:t xml:space="preserve">@Size</w:t>
      </w:r>
      <w:r>
        <w:t xml:space="preserve"> </w:t>
      </w:r>
      <w:r>
        <w:t xml:space="preserve">auf DTOs).</w:t>
      </w:r>
    </w:p>
    <w:p>
      <w:pPr>
        <w:pStyle w:val="Compact"/>
        <w:numPr>
          <w:ilvl w:val="0"/>
          <w:numId w:val="1011"/>
        </w:numPr>
      </w:pPr>
      <w:r>
        <w:rPr>
          <w:b/>
          <w:bCs/>
        </w:rPr>
        <w:t xml:space="preserve">Recherche.</w:t>
      </w:r>
      <w:r>
        <w:t xml:space="preserve"> </w:t>
      </w:r>
      <w:r>
        <w:t xml:space="preserve">Punktuelle Aufgaben (Spring AI 2.x Boot-4, JaCoCo-Aggregation, JWT-Mock, Testcontainers + Podman) via Web-Recherche-Subagenten und Context7; Ergebnisse flossen in ADR-10 (R-07) und ADR-11 (Coverage-Schwellen).</w:t>
      </w:r>
    </w:p>
    <w:bookmarkEnd w:id="93"/>
    <w:bookmarkStart w:id="94" w:name="eigenständigkeit"/>
    <w:p>
      <w:pPr>
        <w:pStyle w:val="Heading3"/>
      </w:pPr>
      <w:r>
        <w:t xml:space="preserve">13.3 Eigenständigkeit</w:t>
      </w:r>
    </w:p>
    <w:p>
      <w:pPr>
        <w:pStyle w:val="FirstParagraph"/>
      </w:pPr>
      <w:r>
        <w:t xml:space="preserve">Eine separate Eigenständigkeitserklärung (</w:t>
      </w:r>
      <w:r>
        <w:rPr>
          <w:rStyle w:val="VerbatimChar"/>
        </w:rPr>
        <w:t xml:space="preserve">doc/sad/TSaS_Eigenstaendigkeitserklaerung.md</w:t>
      </w:r>
      <w:r>
        <w:t xml:space="preserve">) bestätigt, dass alle KI-Vorschläge vor Übernahme geprüft,</w:t>
      </w:r>
      <w:r>
        <w:t xml:space="preserve"> </w:t>
      </w:r>
      <w:r>
        <w:t xml:space="preserve">angenommen oder zurückgewiesen wurden. Die drei wichtigsten bewusst</w:t>
      </w:r>
      <w:r>
        <w:t xml:space="preserve"> </w:t>
      </w:r>
      <w:r>
        <w:rPr>
          <w:b/>
          <w:bCs/>
        </w:rPr>
        <w:t xml:space="preserve">nicht</w:t>
      </w:r>
      <w:r>
        <w:t xml:space="preserve"> </w:t>
      </w:r>
      <w:r>
        <w:t xml:space="preserve">an die KI delegierten Entscheidungen sind in §14 belegt.</w:t>
      </w:r>
    </w:p>
    <w:p>
      <w:r>
        <w:pict>
          <v:rect style="width:0;height:1.5pt" o:hralign="center" o:hrstd="t" o:hr="t"/>
        </w:pict>
      </w:r>
    </w:p>
    <w:bookmarkEnd w:id="94"/>
    <w:bookmarkEnd w:id="95"/>
    <w:bookmarkStart w:id="106" w:name="reflexion-und-fazit"/>
    <w:p>
      <w:pPr>
        <w:pStyle w:val="Heading2"/>
      </w:pPr>
      <w:r>
        <w:t xml:space="preserve">14. Reflexion und Fazit</w:t>
      </w:r>
    </w:p>
    <w:p>
      <w:pPr>
        <w:pStyle w:val="FirstParagraph"/>
      </w:pPr>
      <w:r>
        <w:t xml:space="preserve">Die Anwendung entstand auf Basis eines rund zu 70 % vorab erstellten SAD und wurde danach schrittweise mit dem Claude CLI entwickelt — anfangs rein über Prompts,</w:t>
      </w:r>
      <w:r>
        <w:t xml:space="preserve"> </w:t>
      </w:r>
      <w:r>
        <w:t xml:space="preserve">später über Linear-Tickets. Aus dieser Arbeitsweise ergeben sich die folgenden Reflexionen.</w:t>
      </w:r>
    </w:p>
    <w:p>
      <w:pPr>
        <w:pStyle w:val="BodyText"/>
      </w:pPr>
      <w:r>
        <w:t xml:space="preserve">Drei Bereiche wurden bewusst</w:t>
      </w:r>
      <w:r>
        <w:t xml:space="preserve"> </w:t>
      </w:r>
      <w:r>
        <w:rPr>
          <w:b/>
          <w:bCs/>
        </w:rPr>
        <w:t xml:space="preserve">nicht an die KI delegiert</w:t>
      </w:r>
      <w:r>
        <w:t xml:space="preserve">. „Nicht delegiert” heisst dabei nicht, dass der Code von Hand statt KI-gestützt entstand — die</w:t>
      </w:r>
      <w:r>
        <w:t xml:space="preserve"> </w:t>
      </w:r>
      <w:r>
        <w:rPr>
          <w:i/>
          <w:iCs/>
        </w:rPr>
        <w:t xml:space="preserve">Generierung</w:t>
      </w:r>
      <w:r>
        <w:t xml:space="preserve"> </w:t>
      </w:r>
      <w:r>
        <w:t xml:space="preserve">war wie</w:t>
      </w:r>
      <w:r>
        <w:t xml:space="preserve"> </w:t>
      </w:r>
      <w:r>
        <w:t xml:space="preserve">beim übrigen Code KI-unterstützt. Delegiert wurde nicht die</w:t>
      </w:r>
      <w:r>
        <w:t xml:space="preserve"> </w:t>
      </w:r>
      <w:r>
        <w:rPr>
          <w:b/>
          <w:bCs/>
        </w:rPr>
        <w:t xml:space="preserve">Entscheidung und Verifikation</w:t>
      </w:r>
      <w:r>
        <w:t xml:space="preserve">: hier blieb die inhaltliche Verantwortung durchgängig menschlich, KI-Vorschläge wurden geprüft und wo nötig verworfen (konsistent mit §13.3).</w:t>
      </w:r>
    </w:p>
    <w:bookmarkStart w:id="96" w:name="veto-1-security-konfiguration"/>
    <w:p>
      <w:pPr>
        <w:pStyle w:val="Heading3"/>
      </w:pPr>
      <w:r>
        <w:t xml:space="preserve">14.1 Veto 1 — Security-Konfiguration</w:t>
      </w:r>
    </w:p>
    <w:p>
      <w:pPr>
        <w:pStyle w:val="FirstParagraph"/>
      </w:pPr>
      <w:r>
        <w:rPr>
          <w:rStyle w:val="VerbatimChar"/>
        </w:rPr>
        <w:t xml:space="preserve">SecurityConfig.java</w:t>
      </w:r>
      <w:r>
        <w:t xml:space="preserve">, Keycloak-Realm-Export, JWT-Validator, CORS und Pfad-Permits wurden — wie der übrige Code —</w:t>
      </w:r>
      <w:r>
        <w:t xml:space="preserve"> </w:t>
      </w:r>
      <w:r>
        <w:rPr>
          <w:b/>
          <w:bCs/>
        </w:rPr>
        <w:t xml:space="preserve">KI-gestützt erstellt, aber bewusst nicht als KI-Default übernommen</w:t>
      </w:r>
      <w:r>
        <w:t xml:space="preserve">: jede sicherheitsrelevante Zeile wurde manuell gegen die OAuth2-/OIDC-Spec geprüft und KI-Vorschläge, wo nötig, verworfen.</w:t>
      </w:r>
      <w:r>
        <w:t xml:space="preserve"> </w:t>
      </w:r>
      <w:r>
        <w:rPr>
          <w:b/>
          <w:bCs/>
        </w:rPr>
        <w:t xml:space="preserve">Begründung:</w:t>
      </w:r>
      <w:r>
        <w:t xml:space="preserve"> </w:t>
      </w:r>
      <w:r>
        <w:t xml:space="preserve">Fehlerhafte Token-Validation (</w:t>
      </w:r>
      <w:r>
        <w:rPr>
          <w:rStyle w:val="VerbatimChar"/>
        </w:rPr>
        <w:t xml:space="preserve">aud</w:t>
      </w:r>
      <w:r>
        <w:t xml:space="preserve">/</w:t>
      </w:r>
      <w:r>
        <w:rPr>
          <w:rStyle w:val="VerbatimChar"/>
        </w:rPr>
        <w:t xml:space="preserve">iss</w:t>
      </w:r>
      <w:r>
        <w:t xml:space="preserve">, JWK-URL, Permit-Patterns) erzeugt direkt Auth-Bypass-Lücken; generative Tools schlagen oft</w:t>
      </w:r>
      <w:r>
        <w:t xml:space="preserve"> </w:t>
      </w:r>
      <w:r>
        <w:rPr>
          <w:rStyle w:val="VerbatimChar"/>
        </w:rPr>
        <w:t xml:space="preserve">permitAll()</w:t>
      </w:r>
      <w:r>
        <w:t xml:space="preserve"> </w:t>
      </w:r>
      <w:r>
        <w:t xml:space="preserve">als „lauffähigen” Default vor oder lassen die</w:t>
      </w:r>
      <w:r>
        <w:t xml:space="preserve"> </w:t>
      </w:r>
      <w:r>
        <w:rPr>
          <w:rStyle w:val="VerbatimChar"/>
        </w:rPr>
        <w:t xml:space="preserve">aud</w:t>
      </w:r>
      <w:r>
        <w:t xml:space="preserve">-Prüfung weg — genau solche Vorschläge wurden hier zurückgewiesen.</w:t>
      </w:r>
      <w:r>
        <w:t xml:space="preserve"> </w:t>
      </w:r>
      <w:r>
        <w:rPr>
          <w:b/>
          <w:bCs/>
        </w:rPr>
        <w:t xml:space="preserve">Beleg:</w:t>
      </w:r>
      <w:r>
        <w:t xml:space="preserve"> </w:t>
      </w:r>
      <w:r>
        <w:t xml:space="preserve">Die</w:t>
      </w:r>
      <w:r>
        <w:t xml:space="preserve"> </w:t>
      </w:r>
      <w:r>
        <w:rPr>
          <w:rStyle w:val="VerbatimChar"/>
        </w:rPr>
        <w:t xml:space="preserve">aud</w:t>
      </w:r>
      <w:r>
        <w:t xml:space="preserve">-Lücke (STRIDE-Befund S1, Hoch) wurde im manuellen Audit gefunden — ein KI-Review hätte sie kaum als Lücke erkannt, da</w:t>
      </w:r>
      <w:r>
        <w:t xml:space="preserve"> </w:t>
      </w:r>
      <w:r>
        <w:rPr>
          <w:rStyle w:val="VerbatimChar"/>
        </w:rPr>
        <w:t xml:space="preserve">createDefaultWithIssuer</w:t>
      </w:r>
      <w:r>
        <w:t xml:space="preserve"> </w:t>
      </w:r>
      <w:r>
        <w:t xml:space="preserve">formal „korrekt” ist.</w:t>
      </w:r>
    </w:p>
    <w:bookmarkEnd w:id="96"/>
    <w:bookmarkStart w:id="97" w:name="veto-2-architekturentscheidungen-adrs"/>
    <w:p>
      <w:pPr>
        <w:pStyle w:val="Heading3"/>
      </w:pPr>
      <w:r>
        <w:t xml:space="preserve">14.2 Veto 2 — Architekturentscheidungen (ADRs)</w:t>
      </w:r>
    </w:p>
    <w:p>
      <w:pPr>
        <w:pStyle w:val="FirstParagraph"/>
      </w:pPr>
      <w:r>
        <w:t xml:space="preserve">Die ADRs in §9 wurden inhaltlich</w:t>
      </w:r>
      <w:r>
        <w:t xml:space="preserve"> </w:t>
      </w:r>
      <w:r>
        <w:rPr>
          <w:b/>
          <w:bCs/>
        </w:rPr>
        <w:t xml:space="preserve">manuell</w:t>
      </w:r>
      <w:r>
        <w:t xml:space="preserve"> </w:t>
      </w:r>
      <w:r>
        <w:t xml:space="preserve">entschieden; die KI half nur beim Ausformulieren der Trade-offs.</w:t>
      </w:r>
      <w:r>
        <w:t xml:space="preserve"> </w:t>
      </w:r>
      <w:r>
        <w:rPr>
          <w:b/>
          <w:bCs/>
        </w:rPr>
        <w:t xml:space="preserve">Begründung:</w:t>
      </w:r>
      <w:r>
        <w:t xml:space="preserve"> </w:t>
      </w:r>
      <w:r>
        <w:t xml:space="preserve">KI-Vorschläge tendieren zu konservativen „Best-Practice”-Empfehlungen und übersehen Kontext (Team-Grösse, Roadmap). Drei Gegen-Entscheidungen:</w:t>
      </w:r>
      <w:r>
        <w:t xml:space="preserve"> </w:t>
      </w:r>
      <w:r>
        <w:rPr>
          <w:b/>
          <w:bCs/>
        </w:rPr>
        <w:t xml:space="preserve">ADR-07</w:t>
      </w:r>
      <w:r>
        <w:t xml:space="preserve"> </w:t>
      </w:r>
      <w:r>
        <w:t xml:space="preserve">verwirft Spring Modulith zugunsten von Compile-Zeit-Grenzen;</w:t>
      </w:r>
      <w:r>
        <w:t xml:space="preserve"> </w:t>
      </w:r>
      <w:r>
        <w:rPr>
          <w:b/>
          <w:bCs/>
        </w:rPr>
        <w:t xml:space="preserve">ADR-12</w:t>
      </w:r>
      <w:r>
        <w:t xml:space="preserve"> </w:t>
      </w:r>
      <w:r>
        <w:t xml:space="preserve">konsolidiert das</w:t>
      </w:r>
      <w:r>
        <w:t xml:space="preserve"> </w:t>
      </w:r>
      <w:r>
        <w:rPr>
          <w:rStyle w:val="VerbatimChar"/>
        </w:rPr>
        <w:t xml:space="preserve">scoring-module</w:t>
      </w:r>
      <w:r>
        <w:t xml:space="preserve"> </w:t>
      </w:r>
      <w:r>
        <w:t xml:space="preserve">zurück ins</w:t>
      </w:r>
      <w:r>
        <w:t xml:space="preserve"> </w:t>
      </w:r>
      <w:r>
        <w:rPr>
          <w:rStyle w:val="VerbatimChar"/>
        </w:rPr>
        <w:t xml:space="preserve">match-module</w:t>
      </w:r>
      <w:r>
        <w:t xml:space="preserve">;</w:t>
      </w:r>
      <w:r>
        <w:t xml:space="preserve"> </w:t>
      </w:r>
      <w:r>
        <w:rPr>
          <w:b/>
          <w:bCs/>
        </w:rPr>
        <w:t xml:space="preserve">ADR-13</w:t>
      </w:r>
      <w:r>
        <w:t xml:space="preserve"> </w:t>
      </w:r>
      <w:r>
        <w:t xml:space="preserve">erlaubt geteilte Domänen-Wertobjekte statt Anti-Corruption-Schicht.</w:t>
      </w:r>
      <w:r>
        <w:t xml:space="preserve"> </w:t>
      </w:r>
      <w:r>
        <w:rPr>
          <w:b/>
          <w:bCs/>
        </w:rPr>
        <w:t xml:space="preserve">Beleg:</w:t>
      </w:r>
      <w:r>
        <w:t xml:space="preserve"> </w:t>
      </w:r>
      <w:r>
        <w:t xml:space="preserve">Die Begründungen enthalten konkrete, nicht aus dem Code ableitbare Kontextfaktoren; ADR-12/13 sind explizite Korrekturen früherer Bausteinskizzen.</w:t>
      </w:r>
    </w:p>
    <w:bookmarkEnd w:id="97"/>
    <w:bookmarkStart w:id="98" w:name="veto-3-tennis-domänenregeln-im-scoring"/>
    <w:p>
      <w:pPr>
        <w:pStyle w:val="Heading3"/>
      </w:pPr>
      <w:r>
        <w:t xml:space="preserve">14.3 Veto 3 — Tennis-Domänenregeln im Scoring</w:t>
      </w:r>
    </w:p>
    <w:p>
      <w:pPr>
        <w:pStyle w:val="FirstParagraph"/>
      </w:pPr>
      <w:r>
        <w:rPr>
          <w:rStyle w:val="VerbatimChar"/>
        </w:rPr>
        <w:t xml:space="preserve">ScoringService.java</w:t>
      </w:r>
      <w:r>
        <w:t xml:space="preserve"> </w:t>
      </w:r>
      <w:r>
        <w:t xml:space="preserve">(Punkte, Spiele, Sätze, Tiebreak, Match-Tiebreak, Short Set, Einstand/Vorteil, Break-Point) wurde gegen das</w:t>
      </w:r>
      <w:r>
        <w:t xml:space="preserve"> </w:t>
      </w:r>
      <w:r>
        <w:rPr>
          <w:b/>
          <w:bCs/>
        </w:rPr>
        <w:t xml:space="preserve">ITF-Regelwerk manuell verifiziert</w:t>
      </w:r>
      <w:r>
        <w:t xml:space="preserve">, statt der KI-generierten Version blind zu vertrauen.</w:t>
      </w:r>
      <w:r>
        <w:t xml:space="preserve"> </w:t>
      </w:r>
      <w:r>
        <w:rPr>
          <w:b/>
          <w:bCs/>
        </w:rPr>
        <w:t xml:space="preserve">Begründung:</w:t>
      </w:r>
      <w:r>
        <w:t xml:space="preserve"> </w:t>
      </w:r>
      <w:r>
        <w:t xml:space="preserve">LLMs haben unzuverlässige Domänenkenntnis bei Sport-Regelwerken (Edge Cases: Match-Tiebreak, Short Set, Tiebreak-Wechsel); falsche Regeln würde der Coach am Platz sofort bemerken.</w:t>
      </w:r>
      <w:r>
        <w:t xml:space="preserve"> </w:t>
      </w:r>
      <w:r>
        <w:rPr>
          <w:b/>
          <w:bCs/>
        </w:rPr>
        <w:t xml:space="preserve">Beleg:</w:t>
      </w:r>
      <w:r>
        <w:t xml:space="preserve"> </w:t>
      </w:r>
      <w:r>
        <w:t xml:space="preserve">60</w:t>
      </w:r>
      <w:r>
        <w:t xml:space="preserve"> </w:t>
      </w:r>
      <w:r>
        <w:rPr>
          <w:rStyle w:val="VerbatimChar"/>
        </w:rPr>
        <w:t xml:space="preserve">match-module</w:t>
      </w:r>
      <w:r>
        <w:t xml:space="preserve">-Tests, grösstenteils Edge-Case-Tests; die hohe Branch-Coverage (74,2 %) ist direktes Resultat dieser Manuell-Verifikation.</w:t>
      </w:r>
    </w:p>
    <w:bookmarkEnd w:id="98"/>
    <w:bookmarkStart w:id="99" w:name="human-in-the-loop"/>
    <w:p>
      <w:pPr>
        <w:pStyle w:val="Heading3"/>
      </w:pPr>
      <w:r>
        <w:t xml:space="preserve">14.4 Human-in-the-Loop</w:t>
      </w:r>
    </w:p>
    <w:p>
      <w:pPr>
        <w:pStyle w:val="FirstParagraph"/>
      </w:pPr>
      <w:r>
        <w:t xml:space="preserve">Die KI trifft keine endgültigen Entscheidungen: generierte Empfehlungen sind Vorschläge (</w:t>
      </w:r>
      <w:r>
        <w:rPr>
          <w:rStyle w:val="VerbatimChar"/>
        </w:rPr>
        <w:t xml:space="preserve">OPEN</w:t>
      </w:r>
      <w:r>
        <w:t xml:space="preserve">); der Coach nimmt sie an oder verwirft sie (mit Begründung). HITL ist im Domänenmodell (</w:t>
      </w:r>
      <w:r>
        <w:rPr>
          <w:rStyle w:val="VerbatimChar"/>
        </w:rPr>
        <w:t xml:space="preserve">Recommendation.status</w:t>
      </w:r>
      <w:r>
        <w:t xml:space="preserve">) und im UI verankert.</w:t>
      </w:r>
    </w:p>
    <w:bookmarkEnd w:id="99"/>
    <w:bookmarkStart w:id="100" w:name="übertrag-auf-die-künftige-arbeitsweise"/>
    <w:p>
      <w:pPr>
        <w:pStyle w:val="Heading3"/>
      </w:pPr>
      <w:r>
        <w:t xml:space="preserve">14.5 Übertrag auf die künftige Arbeitsweise</w:t>
      </w:r>
    </w:p>
    <w:p>
      <w:pPr>
        <w:pStyle w:val="Compact"/>
        <w:numPr>
          <w:ilvl w:val="0"/>
          <w:numId w:val="1012"/>
        </w:numPr>
      </w:pPr>
      <w:r>
        <w:rPr>
          <w:b/>
          <w:bCs/>
        </w:rPr>
        <w:t xml:space="preserve">KI als Drafting-/Review-Werkzeug, nicht als Entscheider</w:t>
      </w:r>
      <w:r>
        <w:t xml:space="preserve"> </w:t>
      </w:r>
      <w:r>
        <w:t xml:space="preserve">— Entscheidungen (Stil, Trade-offs, Domänenregeln, Security) bleiben beim Menschen.</w:t>
      </w:r>
    </w:p>
    <w:p>
      <w:pPr>
        <w:pStyle w:val="Compact"/>
        <w:numPr>
          <w:ilvl w:val="0"/>
          <w:numId w:val="1012"/>
        </w:numPr>
      </w:pPr>
      <w:r>
        <w:rPr>
          <w:b/>
          <w:bCs/>
        </w:rPr>
        <w:t xml:space="preserve">Adversariales Review als Standard</w:t>
      </w:r>
      <w:r>
        <w:t xml:space="preserve"> </w:t>
      </w:r>
      <w:r>
        <w:t xml:space="preserve">— ein zweiter, unabhängiger KI-Agent prüft jeden grösseren Diff.</w:t>
      </w:r>
    </w:p>
    <w:p>
      <w:pPr>
        <w:pStyle w:val="Compact"/>
        <w:numPr>
          <w:ilvl w:val="0"/>
          <w:numId w:val="1012"/>
        </w:numPr>
      </w:pPr>
      <w:r>
        <w:rPr>
          <w:b/>
          <w:bCs/>
        </w:rPr>
        <w:t xml:space="preserve">Belegpflicht</w:t>
      </w:r>
      <w:r>
        <w:t xml:space="preserve"> </w:t>
      </w:r>
      <w:r>
        <w:t xml:space="preserve">— übernommene Vorschläge müssen in Spec, ADR oder Commit nachvollziehbar sein.</w:t>
      </w:r>
    </w:p>
    <w:p>
      <w:pPr>
        <w:pStyle w:val="Compact"/>
        <w:numPr>
          <w:ilvl w:val="0"/>
          <w:numId w:val="1012"/>
        </w:numPr>
      </w:pPr>
      <w:r>
        <w:rPr>
          <w:b/>
          <w:bCs/>
        </w:rPr>
        <w:t xml:space="preserve">Domänenregeln immer testen</w:t>
      </w:r>
      <w:r>
        <w:t xml:space="preserve"> </w:t>
      </w:r>
      <w:r>
        <w:t xml:space="preserve">— dedizierte Test-Suites; das 70-%-Branch-Gate hält die Disziplin durch.</w:t>
      </w:r>
    </w:p>
    <w:bookmarkEnd w:id="100"/>
    <w:bookmarkStart w:id="101" w:name="beobachtungen-aus-der-praxis"/>
    <w:p>
      <w:pPr>
        <w:pStyle w:val="Heading3"/>
      </w:pPr>
      <w:r>
        <w:t xml:space="preserve">14.6 Beobachtungen aus der Praxis</w:t>
      </w:r>
    </w:p>
    <w:p>
      <w:pPr>
        <w:pStyle w:val="FirstParagraph"/>
      </w:pPr>
      <w:r>
        <w:t xml:space="preserve">Über das Projekt hinweg haben sich mehrere Muster wiederholt:</w:t>
      </w:r>
    </w:p>
    <w:p>
      <w:pPr>
        <w:pStyle w:val="Compact"/>
        <w:numPr>
          <w:ilvl w:val="0"/>
          <w:numId w:val="1013"/>
        </w:numPr>
      </w:pPr>
      <w:r>
        <w:rPr>
          <w:b/>
          <w:bCs/>
        </w:rPr>
        <w:t xml:space="preserve">Präzision zahlt sich aus.</w:t>
      </w:r>
      <w:r>
        <w:t xml:space="preserve"> </w:t>
      </w:r>
      <w:r>
        <w:t xml:space="preserve">Je genauer der Prompt, desto besser das Ergebnis. Teils muss man hartnäckig bleiben, bis die KI umsetzt, was man will — und was man glaubte, ihr klar gesagt zu haben.</w:t>
      </w:r>
    </w:p>
    <w:p>
      <w:pPr>
        <w:pStyle w:val="Compact"/>
        <w:numPr>
          <w:ilvl w:val="0"/>
          <w:numId w:val="1013"/>
        </w:numPr>
      </w:pPr>
      <w:r>
        <w:rPr>
          <w:b/>
          <w:bCs/>
        </w:rPr>
        <w:t xml:space="preserve">KI als Sparring-Partner.</w:t>
      </w:r>
      <w:r>
        <w:t xml:space="preserve"> </w:t>
      </w:r>
      <w:r>
        <w:t xml:space="preserve">Für mich als Backend-Entwickler mit geringem Angular-Wissen war die KI ein wertvoller Gesprächspartner, um Frontend-Vorstellungen zu klären und Stil-Alternativen abzuwägen.</w:t>
      </w:r>
    </w:p>
    <w:p>
      <w:pPr>
        <w:pStyle w:val="Compact"/>
        <w:numPr>
          <w:ilvl w:val="0"/>
          <w:numId w:val="1013"/>
        </w:numPr>
      </w:pPr>
      <w:r>
        <w:rPr>
          <w:b/>
          <w:bCs/>
        </w:rPr>
        <w:t xml:space="preserve">Solide Vorarbeit ist entscheidend.</w:t>
      </w:r>
      <w:r>
        <w:t xml:space="preserve"> </w:t>
      </w:r>
      <w:r>
        <w:t xml:space="preserve">Nachträgliche Architektur-Refactorings dauern lange und kosten viele Tokens. Die tragenden Entscheidungen (Backend-, Frontend-, Systemarchitektur) müssen früh in einem Dokument festgehalten sein. Das</w:t>
      </w:r>
      <w:r>
        <w:t xml:space="preserve"> </w:t>
      </w:r>
      <w:r>
        <w:rPr>
          <w:rStyle w:val="VerbatimChar"/>
        </w:rPr>
        <w:t xml:space="preserve">CLAUDE.md</w:t>
      </w:r>
      <w:r>
        <w:t xml:space="preserve"> </w:t>
      </w:r>
      <w:r>
        <w:t xml:space="preserve">wird damit zum zentralen Steuerungsinstrument des Architekten — inklusive einer Definition of Done —, damit ein ganzes Team gleichwertigen Code erzeugt.</w:t>
      </w:r>
    </w:p>
    <w:p>
      <w:pPr>
        <w:pStyle w:val="Compact"/>
        <w:numPr>
          <w:ilvl w:val="0"/>
          <w:numId w:val="1013"/>
        </w:numPr>
      </w:pPr>
      <w:r>
        <w:rPr>
          <w:b/>
          <w:bCs/>
        </w:rPr>
        <w:t xml:space="preserve">Tickets brauchen mehr Sorgfalt.</w:t>
      </w:r>
      <w:r>
        <w:t xml:space="preserve"> </w:t>
      </w:r>
      <w:r>
        <w:t xml:space="preserve">Tasks/Tickets sollten aus einem Template entstehen und deutlich sorgfältiger formuliert sein als bei rein menschlicher Bearbeitung; die KI kann beim Erstellen helfen.</w:t>
      </w:r>
    </w:p>
    <w:p>
      <w:pPr>
        <w:pStyle w:val="Compact"/>
        <w:numPr>
          <w:ilvl w:val="0"/>
          <w:numId w:val="1013"/>
        </w:numPr>
      </w:pPr>
      <w:r>
        <w:rPr>
          <w:b/>
          <w:bCs/>
        </w:rPr>
        <w:t xml:space="preserve">Neue Architektenaufgaben.</w:t>
      </w:r>
      <w:r>
        <w:t xml:space="preserve"> </w:t>
      </w:r>
      <w:r>
        <w:t xml:space="preserve">Neben den klassischen FA/NFA gehört künftig das Setzen von „Pflöcken” (Rahmenbedingungen/Guardrails für die KI) dazu — sowie die laufende Überwachung, dass diese Richtlinien eingehalten werden. Dafür kann ein zweites LLM unterstützen (vgl. adversariales Review, §14.5).</w:t>
      </w:r>
    </w:p>
    <w:p>
      <w:pPr>
        <w:pStyle w:val="Compact"/>
        <w:numPr>
          <w:ilvl w:val="0"/>
          <w:numId w:val="1013"/>
        </w:numPr>
      </w:pPr>
      <w:r>
        <w:rPr>
          <w:b/>
          <w:bCs/>
        </w:rPr>
        <w:t xml:space="preserve">Review-Disziplin unter Druck.</w:t>
      </w:r>
      <w:r>
        <w:t xml:space="preserve"> </w:t>
      </w:r>
      <w:r>
        <w:t xml:space="preserve">Bei sehr grossen Diffs (vor allem im Frontend) stiess das manuelle Review an seine Grenzen — die Tragweite war allein im Review kaum noch erfassbar. Konsequenz: Issues müssen kleiner werden und automatisierte Tests gewinnen weiter an Bedeutung, sonst geht der Überblick verloren.</w:t>
      </w:r>
    </w:p>
    <w:bookmarkEnd w:id="101"/>
    <w:bookmarkStart w:id="102" w:name="X9bc5b362477da63c6898f314fee5bd3535fe289"/>
    <w:p>
      <w:pPr>
        <w:pStyle w:val="Heading3"/>
      </w:pPr>
      <w:r>
        <w:t xml:space="preserve">14.7 Konkrete Beispiele — akzeptiert und korrigiert</w:t>
      </w:r>
    </w:p>
    <w:p>
      <w:pPr>
        <w:pStyle w:val="FirstParagraph"/>
      </w:pPr>
      <w:r>
        <w:t xml:space="preserve">Ergänzend zu den Vetos (§14.1–14.3) zeigen zwei belegte Situationen den Umgang mit KI-Vorschlägen:</w:t>
      </w:r>
    </w:p>
    <w:p>
      <w:pPr>
        <w:pStyle w:val="Compact"/>
        <w:numPr>
          <w:ilvl w:val="0"/>
          <w:numId w:val="1014"/>
        </w:numPr>
      </w:pPr>
      <w:r>
        <w:rPr>
          <w:b/>
          <w:bCs/>
        </w:rPr>
        <w:t xml:space="preserve">Akzeptiert — strukturierter LLM-Output statt selbstgebautem Parser.</w:t>
      </w:r>
      <w:r>
        <w:t xml:space="preserve"> </w:t>
      </w:r>
      <w:r>
        <w:t xml:space="preserve">Für die KI-Match-Analyse schlug die KI vor, die LLM-Antwort nicht als Text zu parsen, sondern über Spring AI direkt in ein typisiertes Java-Objekt zu mappen (</w:t>
      </w:r>
      <w:r>
        <w:rPr>
          <w:rStyle w:val="VerbatimChar"/>
        </w:rPr>
        <w:t xml:space="preserve">ChatClient….entity(MatchAnalysisResult.class)</w:t>
      </w:r>
      <w:r>
        <w:t xml:space="preserve">). Der Vorschlag wurde unverändert übernommen: Er macht den fragilen String-Parser überflüssig und erzwingt die Antwortstruktur (begründet in ADR-10). → Commit</w:t>
      </w:r>
      <w:r>
        <w:t xml:space="preserve"> </w:t>
      </w:r>
      <w:r>
        <w:rPr>
          <w:rStyle w:val="VerbatimChar"/>
        </w:rPr>
        <w:t xml:space="preserve">e02ee0b</w:t>
      </w:r>
      <w:r>
        <w:t xml:space="preserve"> </w:t>
      </w:r>
      <w:r>
        <w:t xml:space="preserve">(</w:t>
      </w:r>
      <w:r>
        <w:rPr>
          <w:rStyle w:val="VerbatimChar"/>
        </w:rPr>
        <w:t xml:space="preserve">OpenAiLlmAdapter.java</w:t>
      </w:r>
      <w:r>
        <w:t xml:space="preserve">).</w:t>
      </w:r>
    </w:p>
    <w:p>
      <w:pPr>
        <w:pStyle w:val="Compact"/>
        <w:numPr>
          <w:ilvl w:val="0"/>
          <w:numId w:val="1014"/>
        </w:numPr>
      </w:pPr>
      <w:r>
        <w:rPr>
          <w:b/>
          <w:bCs/>
        </w:rPr>
        <w:t xml:space="preserve">Korrigiert — NullPointer in der Statistik.</w:t>
      </w:r>
      <w:r>
        <w:t xml:space="preserve"> </w:t>
      </w:r>
      <w:r>
        <w:t xml:space="preserve">Der generierte</w:t>
      </w:r>
      <w:r>
        <w:t xml:space="preserve"> </w:t>
      </w:r>
      <w:r>
        <w:rPr>
          <w:rStyle w:val="VerbatimChar"/>
        </w:rPr>
        <w:t xml:space="preserve">MatchStatisticsService</w:t>
      </w:r>
      <w:r>
        <w:t xml:space="preserve"> </w:t>
      </w:r>
      <w:r>
        <w:t xml:space="preserve">griff beim Iterieren über alle Punkte auf</w:t>
      </w:r>
      <w:r>
        <w:t xml:space="preserve"> </w:t>
      </w:r>
      <w:r>
        <w:rPr>
          <w:rStyle w:val="VerbatimChar"/>
        </w:rPr>
        <w:t xml:space="preserve">pointType</w:t>
      </w:r>
      <w:r>
        <w:t xml:space="preserve"> </w:t>
      </w:r>
      <w:r>
        <w:t xml:space="preserve">zu. Die später eingeführten „Quick-Points” (schnelle Punkterfassung ohne Attribut, vgl. FA-06) haben aber keinen</w:t>
      </w:r>
      <w:r>
        <w:t xml:space="preserve"> </w:t>
      </w:r>
      <w:r>
        <w:rPr>
          <w:rStyle w:val="VerbatimChar"/>
        </w:rPr>
        <w:t xml:space="preserve">pointType</w:t>
      </w:r>
      <w:r>
        <w:t xml:space="preserve"> </w:t>
      </w:r>
      <w:r>
        <w:t xml:space="preserve">→ NullPointerException. Korrektur: Guard-Klausel (solche Punkte zählen nur zum Stand und überspringen die Attribution) plus Regressionstest. → Commit</w:t>
      </w:r>
      <w:r>
        <w:t xml:space="preserve"> </w:t>
      </w:r>
      <w:r>
        <w:rPr>
          <w:rStyle w:val="VerbatimChar"/>
        </w:rPr>
        <w:t xml:space="preserve">9e35106</w:t>
      </w:r>
      <w:r>
        <w:t xml:space="preserve"> </w:t>
      </w:r>
      <w:r>
        <w:t xml:space="preserve">(+6 Zeilen Service, +17 Zeilen Test).</w:t>
      </w:r>
    </w:p>
    <w:bookmarkEnd w:id="102"/>
    <w:bookmarkStart w:id="103" w:name="X228c99141e3591c9d8a0034df91e972dbbedc13"/>
    <w:p>
      <w:pPr>
        <w:pStyle w:val="Heading3"/>
      </w:pPr>
      <w:r>
        <w:t xml:space="preserve">14.8 Geeignete und kritische Projekte für den KI-Einsatz</w:t>
      </w:r>
    </w:p>
    <w:p>
      <w:pPr>
        <w:pStyle w:val="FirstParagraph"/>
      </w:pPr>
      <w:r>
        <w:t xml:space="preserve">KI ist ein mächtiges Werkzeug für Implementierung und Architekturfindung, hat aber klare Grenzen. Besonders wirksam ist sie bei Projekten mit etabliertem,</w:t>
      </w:r>
      <w:r>
        <w:t xml:space="preserve"> </w:t>
      </w:r>
      <w:r>
        <w:t xml:space="preserve">gut dokumentiertem Tech-Stack und klar umrissenen, in kleine Tickets zerlegten Aufgaben. Zurückhaltender wäre ich in zwei Fällen:</w:t>
      </w:r>
    </w:p>
    <w:p>
      <w:pPr>
        <w:pStyle w:val="Compact"/>
        <w:numPr>
          <w:ilvl w:val="0"/>
          <w:numId w:val="1015"/>
        </w:numPr>
      </w:pPr>
      <w:r>
        <w:rPr>
          <w:b/>
          <w:bCs/>
        </w:rPr>
        <w:t xml:space="preserve">Reguliertes Umfeld.</w:t>
      </w:r>
      <w:r>
        <w:t xml:space="preserve"> </w:t>
      </w:r>
      <w:r>
        <w:t xml:space="preserve">In der höchsten Kritikalitätsstufe („Fehlverhalten gefährdet Menschenleben” — Medizintechnik, Maschinensteuerungen) würde ich KI nur mit sehr strikten Guards und lückenloser menschlicher Verifikation einsetzen.</w:t>
      </w:r>
    </w:p>
    <w:p>
      <w:pPr>
        <w:pStyle w:val="Compact"/>
        <w:numPr>
          <w:ilvl w:val="0"/>
          <w:numId w:val="1015"/>
        </w:numPr>
      </w:pPr>
      <w:r>
        <w:rPr>
          <w:b/>
          <w:bCs/>
        </w:rPr>
        <w:t xml:space="preserve">Exotischer Tech-Stack oder brandneue Versionen.</w:t>
      </w:r>
      <w:r>
        <w:t xml:space="preserve"> </w:t>
      </w:r>
      <w:r>
        <w:t xml:space="preserve">Direkt nach dem Release von Spring Boot 4 kam die KI mit der neuen Version noch nicht zurecht und wich auf die ältere aus. Erst Wochen später gelang die Migration. Bei wenig verbreiteten Frameworks fehlt der KI schlicht die Datenbasis. Hier ist mehr manuelle Führung nötig.</w:t>
      </w:r>
    </w:p>
    <w:bookmarkEnd w:id="103"/>
    <w:bookmarkStart w:id="104" w:name="gefahren-und-offene-fragen"/>
    <w:p>
      <w:pPr>
        <w:pStyle w:val="Heading3"/>
      </w:pPr>
      <w:r>
        <w:t xml:space="preserve">14.9 Gefahren und offene Fragen</w:t>
      </w:r>
    </w:p>
    <w:p>
      <w:pPr>
        <w:pStyle w:val="Compact"/>
        <w:numPr>
          <w:ilvl w:val="0"/>
          <w:numId w:val="1016"/>
        </w:numPr>
      </w:pPr>
      <w:r>
        <w:rPr>
          <w:b/>
          <w:bCs/>
        </w:rPr>
        <w:t xml:space="preserve">Kompetenzaufbau.</w:t>
      </w:r>
      <w:r>
        <w:t xml:space="preserve"> </w:t>
      </w:r>
      <w:r>
        <w:t xml:space="preserve">Unerfahrene Entwickler setzen Tickets mit KI schneller um, aber nicht zwangsläufig besser da sie noch nicht über das Wissen verfügen was gut oder weniger gut ist. Dir Frage für die Zukunft lautet</w:t>
      </w:r>
      <w:r>
        <w:t xml:space="preserve"> </w:t>
      </w:r>
      <w:r>
        <w:t xml:space="preserve">“Wie bilden wir Juniors zu Seniors aus, wenn weniger Code selbst geschrieben wird?”</w:t>
      </w:r>
      <w:r>
        <w:t xml:space="preserve"> </w:t>
      </w:r>
      <w:r>
        <w:t xml:space="preserve">Müssen sie künftig nur noch Code lesen können oder genügt das alleinige Verständnis für einen guten Aufbau, für gute Tickets und Architektur-Trade-offs zu entscheiden?</w:t>
      </w:r>
    </w:p>
    <w:p>
      <w:pPr>
        <w:pStyle w:val="Compact"/>
        <w:numPr>
          <w:ilvl w:val="0"/>
          <w:numId w:val="1016"/>
        </w:numPr>
      </w:pPr>
      <w:r>
        <w:rPr>
          <w:b/>
          <w:bCs/>
        </w:rPr>
        <w:t xml:space="preserve">Kontrollverlust.</w:t>
      </w:r>
      <w:r>
        <w:t xml:space="preserve"> </w:t>
      </w:r>
      <w:r>
        <w:t xml:space="preserve">Das Gefühl „das ist mein Code” schwindet. Bleibt die KI stecken, wird die manuelle Fehlersuche aufwendiger, weil man sich erst in den generierten Code einarbeiten muss. Evt. kommt hier dann in Zukunft auch KI (anderes LLM) zum Einsatz was das Gefühl dann noch verstärkt.</w:t>
      </w:r>
    </w:p>
    <w:p>
      <w:pPr>
        <w:pStyle w:val="Compact"/>
        <w:numPr>
          <w:ilvl w:val="0"/>
          <w:numId w:val="1016"/>
        </w:numPr>
      </w:pPr>
      <w:r>
        <w:rPr>
          <w:b/>
          <w:bCs/>
        </w:rPr>
        <w:t xml:space="preserve">Ethik und Regulatorik.</w:t>
      </w:r>
      <w:r>
        <w:t xml:space="preserve"> </w:t>
      </w:r>
      <w:r>
        <w:t xml:space="preserve">Wie weit darf KI in stark regulierten oder sicherheitskritischen Bereichen eingesetzt werden, und wie gehen wir mit den gesellschaftlichen Folgen um (Entscheidungshoheit, Überwachung, wegfallende Tätigkeiten)? Diese Fragen bleiben bewusst über den Projektrahmen hinaus offen.</w:t>
      </w:r>
    </w:p>
    <w:p>
      <w:pPr>
        <w:pStyle w:val="Compact"/>
        <w:numPr>
          <w:ilvl w:val="0"/>
          <w:numId w:val="1016"/>
        </w:numPr>
      </w:pPr>
      <w:r>
        <w:rPr>
          <w:b/>
          <w:bCs/>
        </w:rPr>
        <w:t xml:space="preserve">Arbeitsplatzverlust, Wertschätzung.</w:t>
      </w:r>
      <w:r>
        <w:t xml:space="preserve"> </w:t>
      </w:r>
      <w:r>
        <w:t xml:space="preserve">Wozu brauche ich noch einen teuren SW-Ingenieur/Architekten. Ich lasse die KI schreiben die ist schneller und billiger. Die Architektur interessiert mich nicht ich will Ergebnisse. Solchen Manager-Gedanken werden wir uns stellen müssen, wie es Berichten aus den Medien bereits zeigen.</w:t>
      </w:r>
    </w:p>
    <w:bookmarkEnd w:id="104"/>
    <w:bookmarkStart w:id="105" w:name="fazit"/>
    <w:p>
      <w:pPr>
        <w:pStyle w:val="Heading3"/>
      </w:pPr>
      <w:r>
        <w:t xml:space="preserve">14.10 Fazit</w:t>
      </w:r>
    </w:p>
    <w:p>
      <w:pPr>
        <w:pStyle w:val="FirstParagraph"/>
      </w:pPr>
      <w:r>
        <w:t xml:space="preserve">KI wird aus der Softwareentwicklung nicht mehr wegzudenken sein und bald so selbstverständlich genutzt werden wie heute die Code-Completion in der IDE.</w:t>
      </w:r>
      <w:r>
        <w:t xml:space="preserve"> </w:t>
      </w:r>
      <w:r>
        <w:t xml:space="preserve">Software-Ingenieure bleiben nötig, aber ihre Arbeit verschiebt sich: weg vom reinen Codieren, hin zu Dokumentation, präziser Ticket-Formulierung und Architekturentscheidungen.</w:t>
      </w:r>
      <w:r>
        <w:t xml:space="preserve"> </w:t>
      </w:r>
      <w:r>
        <w:t xml:space="preserve">Für dieses Projekt hat sich die Kombination aus solider Vorarbeit (SAD,</w:t>
      </w:r>
      <w:r>
        <w:t xml:space="preserve"> </w:t>
      </w:r>
      <w:r>
        <w:rPr>
          <w:rStyle w:val="VerbatimChar"/>
        </w:rPr>
        <w:t xml:space="preserve">CLAUDE.md</w:t>
      </w:r>
      <w:r>
        <w:t xml:space="preserve">), klar delegierbaren Aufgaben und konsequent menschlicher Verifikation der kritischen Teile bewährt.</w:t>
      </w:r>
    </w:p>
    <w:p>
      <w:r>
        <w:pict>
          <v:rect style="width:0;height:1.5pt" o:hralign="center" o:hrstd="t" o:hr="t"/>
        </w:pict>
      </w:r>
    </w:p>
    <w:bookmarkEnd w:id="105"/>
    <w:bookmarkEnd w:id="106"/>
    <w:bookmarkStart w:id="107"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Eine deploybare Einheit, intern in lose gekoppelte Module aufgeteilt</w:t>
            </w:r>
          </w:p>
        </w:tc>
      </w:tr>
      <w:tr>
        <w:tc>
          <w:tcPr/>
          <w:p>
            <w:pPr>
              <w:pStyle w:val="Compact"/>
            </w:pPr>
            <w:r>
              <w:rPr>
                <w:b/>
                <w:bCs/>
              </w:rPr>
              <w:t xml:space="preserve">Clean Architecture</w:t>
            </w:r>
          </w:p>
        </w:tc>
        <w:tc>
          <w:tcPr/>
          <w:p>
            <w:pPr>
              <w:pStyle w:val="Compact"/>
            </w:pPr>
            <w:r>
              <w:t xml:space="preserve">Abhängigkeiten zeigen von aussen (Infrastruktur/Adapter) nach innen (Domain); die Domäne ist framework-frei</w:t>
            </w:r>
          </w:p>
        </w:tc>
      </w:tr>
      <w:tr>
        <w:tc>
          <w:tcPr/>
          <w:p>
            <w:pPr>
              <w:pStyle w:val="Compact"/>
            </w:pPr>
            <w:r>
              <w:rPr>
                <w:b/>
                <w:bCs/>
              </w:rPr>
              <w:t xml:space="preserve">OIDC</w:t>
            </w:r>
          </w:p>
        </w:tc>
        <w:tc>
          <w:tcPr/>
          <w:p>
            <w:pPr>
              <w:pStyle w:val="Compact"/>
            </w:pPr>
            <w:r>
              <w:t xml:space="preserve">OpenID Connect – Authentifizierungsschicht auf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den OAuth2 Authorization Code Flow</w:t>
            </w:r>
          </w:p>
        </w:tc>
      </w:tr>
      <w:tr>
        <w:tc>
          <w:tcPr/>
          <w:p>
            <w:pPr>
              <w:pStyle w:val="Compact"/>
            </w:pPr>
            <w:r>
              <w:rPr>
                <w:b/>
                <w:bCs/>
              </w:rPr>
              <w:t xml:space="preserve">IDP</w:t>
            </w:r>
          </w:p>
        </w:tc>
        <w:tc>
          <w:tcPr/>
          <w:p>
            <w:pPr>
              <w:pStyle w:val="Compact"/>
            </w:pPr>
            <w:r>
              <w:t xml:space="preserve">Identity Provider – verwaltet und verifiziert Benutzeridentitäten</w:t>
            </w:r>
          </w:p>
        </w:tc>
      </w:tr>
      <w:tr>
        <w:tc>
          <w:tcPr/>
          <w:p>
            <w:pPr>
              <w:pStyle w:val="Compact"/>
            </w:pPr>
            <w:r>
              <w:rPr>
                <w:b/>
                <w:bCs/>
              </w:rPr>
              <w:t xml:space="preserve">Keycloak</w:t>
            </w:r>
          </w:p>
        </w:tc>
        <w:tc>
          <w:tcPr/>
          <w:p>
            <w:pPr>
              <w:pStyle w:val="Compact"/>
            </w:pPr>
            <w:r>
              <w:t xml:space="preserve">Open-Source Identity- und Access-Management von Red Hat</w:t>
            </w:r>
          </w:p>
        </w:tc>
      </w:tr>
      <w:tr>
        <w:tc>
          <w:tcPr/>
          <w:p>
            <w:pPr>
              <w:pStyle w:val="Compact"/>
            </w:pPr>
            <w:r>
              <w:rPr>
                <w:b/>
                <w:bCs/>
              </w:rPr>
              <w:t xml:space="preserve">Head-to-Head</w:t>
            </w:r>
          </w:p>
        </w:tc>
        <w:tc>
          <w:tcPr/>
          <w:p>
            <w:pPr>
              <w:pStyle w:val="Compact"/>
            </w:pPr>
            <w:r>
              <w:t xml:space="preserve">Direktvergleich der Statistiken zweier Spieler über alle Begegnungen</w:t>
            </w:r>
          </w:p>
        </w:tc>
      </w:tr>
      <w:tr>
        <w:tc>
          <w:tcPr/>
          <w:p>
            <w:pPr>
              <w:pStyle w:val="Compact"/>
            </w:pPr>
            <w:r>
              <w:rPr>
                <w:b/>
                <w:bCs/>
              </w:rPr>
              <w:t xml:space="preserve">Winner</w:t>
            </w:r>
          </w:p>
        </w:tc>
        <w:tc>
          <w:tcPr/>
          <w:p>
            <w:pPr>
              <w:pStyle w:val="Compact"/>
            </w:pPr>
            <w:r>
              <w:t xml:space="preserve">Schlag, der direkt zum Punktgewinn führt, ohne Gegnerberührung</w:t>
            </w:r>
          </w:p>
        </w:tc>
      </w:tr>
      <w:tr>
        <w:tc>
          <w:tcPr/>
          <w:p>
            <w:pPr>
              <w:pStyle w:val="Compact"/>
            </w:pPr>
            <w:r>
              <w:rPr>
                <w:b/>
                <w:bCs/>
              </w:rPr>
              <w:t xml:space="preserve">Unforced Error</w:t>
            </w:r>
          </w:p>
        </w:tc>
        <w:tc>
          <w:tcPr/>
          <w:p>
            <w:pPr>
              <w:pStyle w:val="Compact"/>
            </w:pPr>
            <w:r>
              <w:t xml:space="preserve">Fehler ohne Druckeinwirkung des Gegners</w:t>
            </w:r>
          </w:p>
        </w:tc>
      </w:tr>
      <w:tr>
        <w:tc>
          <w:tcPr/>
          <w:p>
            <w:pPr>
              <w:pStyle w:val="Compact"/>
            </w:pPr>
            <w:r>
              <w:rPr>
                <w:b/>
                <w:bCs/>
              </w:rPr>
              <w:t xml:space="preserve">Ace</w:t>
            </w:r>
          </w:p>
        </w:tc>
        <w:tc>
          <w:tcPr/>
          <w:p>
            <w:pPr>
              <w:pStyle w:val="Compact"/>
            </w:pPr>
            <w:r>
              <w:t xml:space="preserve">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 Punktverlust</w:t>
            </w:r>
          </w:p>
        </w:tc>
      </w:tr>
      <w:tr>
        <w:tc>
          <w:tcPr/>
          <w:p>
            <w:pPr>
              <w:pStyle w:val="Compact"/>
            </w:pPr>
            <w:r>
              <w:rPr>
                <w:b/>
                <w:bCs/>
              </w:rPr>
              <w:t xml:space="preserve">Tiebreak</w:t>
            </w:r>
          </w:p>
        </w:tc>
        <w:tc>
          <w:tcPr/>
          <w:p>
            <w:pPr>
              <w:pStyle w:val="Compact"/>
            </w:pPr>
            <w:r>
              <w:t xml:space="preserve">Entscheidungsspiel bei Satzgleichstand (meist 6:6)</w:t>
            </w:r>
          </w:p>
        </w:tc>
      </w:tr>
      <w:tr>
        <w:tc>
          <w:tcPr/>
          <w:p>
            <w:pPr>
              <w:pStyle w:val="Compact"/>
            </w:pPr>
            <w:r>
              <w:rPr>
                <w:b/>
                <w:bCs/>
              </w:rPr>
              <w:t xml:space="preserve">Match-Tiebreak</w:t>
            </w:r>
          </w:p>
        </w:tc>
        <w:tc>
          <w:tcPr/>
          <w:p>
            <w:pPr>
              <w:pStyle w:val="Compact"/>
            </w:pPr>
            <w:r>
              <w:t xml:space="preserve">Verkürzter Entscheidungssatz (Tiebreak bis 10 Punkte)</w:t>
            </w:r>
          </w:p>
        </w:tc>
      </w:tr>
      <w:tr>
        <w:tc>
          <w:tcPr/>
          <w:p>
            <w:pPr>
              <w:pStyle w:val="Compact"/>
            </w:pPr>
            <w:r>
              <w:rPr>
                <w:b/>
                <w:bCs/>
              </w:rPr>
              <w:t xml:space="preserve">Short Set</w:t>
            </w:r>
          </w:p>
        </w:tc>
        <w:tc>
          <w:tcPr/>
          <w:p>
            <w:pPr>
              <w:pStyle w:val="Compact"/>
            </w:pPr>
            <w:r>
              <w:t xml:space="preserve">Verkürzter Satz bis 4 statt 6 Games</w:t>
            </w:r>
          </w:p>
        </w:tc>
      </w:tr>
    </w:tbl>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33" Target="media/rId33.png" /><Relationship Type="http://schemas.openxmlformats.org/officeDocument/2006/relationships/image" Id="rId85" Target="media/rId85.png" /><Relationship Type="http://schemas.openxmlformats.org/officeDocument/2006/relationships/image" Id="rId60" Target="media/rId60.png" /><Relationship Type="http://schemas.openxmlformats.org/officeDocument/2006/relationships/image" Id="rId17" Target="media/rId17.png"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hyperlink" Id="rId41" Target="diagrams/TSaS_Backend_CleanArchitecture.drawio" TargetMode="External" /><Relationship Type="http://schemas.openxmlformats.org/officeDocument/2006/relationships/hyperlink" Id="rId36" Target="diagrams/TSaS_Backend_Module.drawio" TargetMode="External" /><Relationship Type="http://schemas.openxmlformats.org/officeDocument/2006/relationships/hyperlink" Id="rId88" Target="diagrams/TSaS_Datenmodell.drawio" TargetMode="External" /><Relationship Type="http://schemas.openxmlformats.org/officeDocument/2006/relationships/hyperlink" Id="rId63"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57" Target="diagrams/TSaS_Seq_Authentication.puml" TargetMode="External" /><Relationship Type="http://schemas.openxmlformats.org/officeDocument/2006/relationships/hyperlink" Id="rId52" Target="diagrams/TSaS_Seq_GenerateAnalysis.puml" TargetMode="External" /><Relationship Type="http://schemas.openxmlformats.org/officeDocument/2006/relationships/hyperlink" Id="rId47" Target="diagrams/TSaS_Seq_RecordPoint.puml" TargetMode="External" /><Relationship Type="http://schemas.openxmlformats.org/officeDocument/2006/relationships/hyperlink" Id="rId31" Target="diagrams/TSaS_Whitebox_Gesamtsystem.drawio" TargetMode="External" /></Relationships>
</file>

<file path=word/_rels/footnotes.xml.rels><?xml version="1.0" encoding="UTF-8"?><Relationships xmlns="http://schemas.openxmlformats.org/package/2006/relationships"><Relationship Type="http://schemas.openxmlformats.org/officeDocument/2006/relationships/hyperlink" Id="rId41" Target="diagrams/TSaS_Backend_CleanArchitecture.drawio" TargetMode="External" /><Relationship Type="http://schemas.openxmlformats.org/officeDocument/2006/relationships/hyperlink" Id="rId36" Target="diagrams/TSaS_Backend_Module.drawio" TargetMode="External" /><Relationship Type="http://schemas.openxmlformats.org/officeDocument/2006/relationships/hyperlink" Id="rId88" Target="diagrams/TSaS_Datenmodell.drawio" TargetMode="External" /><Relationship Type="http://schemas.openxmlformats.org/officeDocument/2006/relationships/hyperlink" Id="rId63"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57" Target="diagrams/TSaS_Seq_Authentication.puml" TargetMode="External" /><Relationship Type="http://schemas.openxmlformats.org/officeDocument/2006/relationships/hyperlink" Id="rId52" Target="diagrams/TSaS_Seq_GenerateAnalysis.puml" TargetMode="External" /><Relationship Type="http://schemas.openxmlformats.org/officeDocument/2006/relationships/hyperlink" Id="rId47" Target="diagrams/TSaS_Seq_RecordPoint.puml" TargetMode="External" /><Relationship Type="http://schemas.openxmlformats.org/officeDocument/2006/relationships/hyperlink" Id="rId31" Target="diagrams/TSaS_Whitebox_Gesamtsystem.draw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2026-07-03T17:51:48Z</dcterms:created>
  <dcterms:modified xsi:type="dcterms:W3CDTF">2026-07-03T17:51:48Z</dcterms:modified>
</cp:coreProperties>
</file>

<file path=docProps/custom.xml><?xml version="1.0" encoding="utf-8"?>
<Properties xmlns="http://schemas.openxmlformats.org/officeDocument/2006/custom-properties" xmlns:vt="http://schemas.openxmlformats.org/officeDocument/2006/docPropsVTypes"/>
</file>