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4.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1"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0"/>
    <w:bookmarkEnd w:id="61"/>
    <w:bookmarkStart w:id="69" w:name="querschnittliche-konzepte"/>
    <w:p>
      <w:pPr>
        <w:pStyle w:val="Heading2"/>
      </w:pPr>
      <w:r>
        <w:t xml:space="preserve">8. Querschnittliche Konzepte</w:t>
      </w:r>
    </w:p>
    <w:bookmarkStart w:id="62"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JWT-Validierung (TEN-56 / STRIDE S1).</w:t>
      </w:r>
      <w:r>
        <w:t xml:space="preserve"> </w:t>
      </w:r>
      <w:r>
        <w:t xml:space="preserve">Der</w:t>
      </w:r>
      <w:r>
        <w:t xml:space="preserve"> </w:t>
      </w:r>
      <w:r>
        <w:rPr>
          <w:rStyle w:val="VerbatimChar"/>
        </w:rPr>
        <w:t xml:space="preserve">JwtDecoder</w:t>
      </w:r>
      <w:r>
        <w:t xml:space="preserve"> </w:t>
      </w:r>
      <w:r>
        <w:t xml:space="preserve">kombiniert über</w:t>
      </w:r>
      <w:r>
        <w:t xml:space="preserve"> </w:t>
      </w:r>
      <w:r>
        <w:rPr>
          <w:rStyle w:val="VerbatimChar"/>
        </w:rPr>
        <w:t xml:space="preserve">DelegatingOAuth2TokenValidator</w:t>
      </w:r>
      <w:r>
        <w:t xml:space="preserve"> </w:t>
      </w:r>
      <w:r>
        <w:t xml:space="preserve">drei Validatoren: (a)</w:t>
      </w:r>
      <w:r>
        <w:t xml:space="preserve"> </w:t>
      </w:r>
      <w:r>
        <w:rPr>
          <w:rStyle w:val="VerbatimChar"/>
        </w:rPr>
        <w:t xml:space="preserve">JwtValidators.createDefaultWithIssuer(issuerUri)</w:t>
      </w:r>
      <w:r>
        <w:t xml:space="preserve"> </w:t>
      </w:r>
      <w:r>
        <w:t xml:space="preserve">für</w:t>
      </w:r>
      <w:r>
        <w:t xml:space="preserve"> </w:t>
      </w:r>
      <w:r>
        <w:rPr>
          <w:rStyle w:val="VerbatimChar"/>
        </w:rPr>
        <w:t xml:space="preserve">iss</w:t>
      </w:r>
      <w:r>
        <w:t xml:space="preserve"> </w:t>
      </w:r>
      <w:r>
        <w:t xml:space="preserve">und Default-Claims (Ablauf etc.); (b) JWK-Set-basierte Signaturprüfung über den Nimbus-Decoder; (c)</w:t>
      </w:r>
      <w:r>
        <w:t xml:space="preserve"> </w:t>
      </w:r>
      <w:r>
        <w:rPr>
          <w:rStyle w:val="VerbatimChar"/>
        </w:rPr>
        <w:t xml:space="preserve">JwtClaimValidator("aud", a -&gt; a != null &amp;&amp; a.contains("tsas-frontend"))</w:t>
      </w:r>
      <w:r>
        <w:t xml:space="preserve"> </w:t>
      </w:r>
      <w:r>
        <w:t xml:space="preserve">für die Audience. Ohne (c) würde jedes Token aus der</w:t>
      </w:r>
      <w:r>
        <w:t xml:space="preserve"> </w:t>
      </w:r>
      <w:r>
        <w:rPr>
          <w:rStyle w:val="VerbatimChar"/>
        </w:rPr>
        <w:t xml:space="preserve">tsas</w:t>
      </w:r>
      <w:r>
        <w:t xml:space="preserve">-Realm akzeptiert — auch eines für einen anderen Client mit höheren Privilegien. Die erwartete Audience ist über</w:t>
      </w:r>
      <w:r>
        <w:t xml:space="preserve"> </w:t>
      </w:r>
      <w:r>
        <w:rPr>
          <w:rStyle w:val="VerbatimChar"/>
        </w:rPr>
        <w:t xml:space="preserve">tsas.security.expected-audience</w:t>
      </w:r>
      <w:r>
        <w:t xml:space="preserve"> </w:t>
      </w:r>
      <w:r>
        <w:t xml:space="preserve">(Default</w:t>
      </w:r>
      <w:r>
        <w:t xml:space="preserve"> </w:t>
      </w:r>
      <w:r>
        <w:rPr>
          <w:rStyle w:val="VerbatimChar"/>
        </w:rPr>
        <w:t xml:space="preserve">tsas-frontend</w:t>
      </w:r>
      <w:r>
        <w:t xml:space="preserve">) konfigurierbar; Keycloak liefert das</w:t>
      </w:r>
      <w:r>
        <w:t xml:space="preserve"> </w:t>
      </w:r>
      <w:r>
        <w:rPr>
          <w:rStyle w:val="VerbatimChar"/>
        </w:rPr>
        <w:t xml:space="preserve">aud</w:t>
      </w:r>
      <w:r>
        <w:t xml:space="preserve">-Claim per</w:t>
      </w:r>
      <w:r>
        <w:t xml:space="preserve"> </w:t>
      </w:r>
      <w:r>
        <w:rPr>
          <w:rStyle w:val="VerbatimChar"/>
        </w:rPr>
        <w:t xml:space="preserve">oidc-audience-mapper</w:t>
      </w:r>
      <w:r>
        <w:t xml:space="preserve"> </w:t>
      </w:r>
      <w:r>
        <w:t xml:space="preserve">auf dem</w:t>
      </w:r>
      <w:r>
        <w:t xml:space="preserve"> </w:t>
      </w:r>
      <w:r>
        <w:rPr>
          <w:rStyle w:val="VerbatimChar"/>
        </w:rPr>
        <w:t xml:space="preserve">tsas-frontend</w:t>
      </w:r>
      <w:r>
        <w:t xml:space="preserve">-Client (siehe</w:t>
      </w:r>
      <w:r>
        <w:t xml:space="preserve"> </w:t>
      </w:r>
      <w:r>
        <w:rPr>
          <w:rStyle w:val="VerbatimChar"/>
        </w:rPr>
        <w:t xml:space="preserve">docker/keycloak/realm-export.json</w:t>
      </w:r>
      <w:r>
        <w:t xml:space="preserve">).</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2"/>
    <w:bookmarkStart w:id="63"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3"/>
    <w:bookmarkStart w:id="64"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4"/>
    <w:bookmarkStart w:id="65"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5"/>
    <w:bookmarkStart w:id="66"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6"/>
    <w:bookmarkStart w:id="67"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7"/>
    <w:bookmarkStart w:id="68"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8"/>
    <w:bookmarkEnd w:id="69"/>
    <w:bookmarkStart w:id="70"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0"/>
    <w:bookmarkStart w:id="73" w:name="qualitätsanforderungen"/>
    <w:p>
      <w:pPr>
        <w:pStyle w:val="Heading2"/>
      </w:pPr>
      <w:r>
        <w:t xml:space="preserve">10. Qualitätsanforderungen</w:t>
      </w:r>
    </w:p>
    <w:bookmarkStart w:id="71"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/api/dataexport/export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/api/dataexport</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bl>
    <w:bookmarkEnd w:id="71"/>
    <w:bookmarkStart w:id="72"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2"/>
    <w:bookmarkEnd w:id="73"/>
    <w:bookmarkStart w:id="79"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5" name="Picture"/>
            <a:graphic>
              <a:graphicData uri="http://schemas.openxmlformats.org/drawingml/2006/picture">
                <pic:pic>
                  <pic:nvPicPr>
                    <pic:cNvPr descr="Datenmodell.png" id="76" name="Picture"/>
                    <pic:cNvPicPr>
                      <a:picLocks noChangeArrowheads="1" noChangeAspect="1"/>
                    </pic:cNvPicPr>
                  </pic:nvPicPr>
                  <pic:blipFill>
                    <a:blip r:embed="rId74"/>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7">
        <w:r>
          <w:rPr>
            <w:rStyle w:val="VerbatimChar"/>
            <w:i/>
            <w:iCs/>
          </w:rPr>
          <w:t xml:space="preserve">diagrams/TSaS_Datenmodell.drawio</w:t>
        </w:r>
      </w:hyperlink>
      <w:r>
        <w:rPr>
          <w:i/>
          <w:iCs/>
        </w:rPr>
        <w:t xml:space="preserve">. Authoritatives Schema: Flyway-Migrationen V1–V5.</w:t>
      </w:r>
    </w:p>
    <w:bookmarkStart w:id="78"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8"/>
    <w:bookmarkEnd w:id="79"/>
    <w:bookmarkStart w:id="80"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0"/>
    <w:bookmarkStart w:id="84" w:name="ki-werkzeuge-im-projekt"/>
    <w:p>
      <w:pPr>
        <w:pStyle w:val="Heading2"/>
      </w:pPr>
      <w:r>
        <w:t xml:space="preserve">13. KI-Werkzeuge im Projekt</w:t>
      </w:r>
    </w:p>
    <w:bookmarkStart w:id="81"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1"/>
    <w:bookmarkStart w:id="82"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2"/>
    <w:bookmarkStart w:id="83"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3"/>
    <w:bookmarkEnd w:id="84"/>
    <w:bookmarkStart w:id="89"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5"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5"/>
    <w:bookmarkStart w:id="86"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6"/>
    <w:bookmarkStart w:id="87"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7"/>
    <w:bookmarkStart w:id="88"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8"/>
    <w:bookmarkEnd w:id="89"/>
    <w:bookmarkStart w:id="90"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2026-06-24T09:42:44Z</dcterms:created>
  <dcterms:modified xsi:type="dcterms:W3CDTF">2026-06-24T09:42:44Z</dcterms:modified>
</cp:coreProperties>
</file>

<file path=docProps/custom.xml><?xml version="1.0" encoding="utf-8"?>
<Properties xmlns="http://schemas.openxmlformats.org/officeDocument/2006/custom-properties" xmlns:vt="http://schemas.openxmlformats.org/officeDocument/2006/docPropsVTypes"/>
</file>