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5.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rPr>
                <w:b/>
                <w:bCs/>
              </w:rPr>
              <w:t xml:space="preserve">FA-20</w:t>
            </w:r>
          </w:p>
        </w:tc>
        <w:tc>
          <w:tcPr/>
          <w:p>
            <w:pPr>
              <w:pStyle w:val="Compact"/>
            </w:pPr>
            <w:r>
              <w:rPr>
                <w:b/>
                <w:bCs/>
              </w:rPr>
              <w:t xml:space="preserve">KI-Vorbereitung gegen einen Gegner (Head-to-Head)</w:t>
            </w:r>
          </w:p>
        </w:tc>
        <w:tc>
          <w:tcPr/>
          <w:p>
            <w:pPr>
              <w:pStyle w:val="Compact"/>
            </w:pPr>
            <w:r>
              <w:rPr>
                <w:b/>
                <w:bCs/>
              </w:rPr>
              <w:t xml:space="preserve">Spring AI → OpenAI; gleiche Adapter-Chain wie FA-11. Liefert eine vorausschauende Vorbereitung (</w:t>
            </w:r>
            <w:r>
              <w:rPr>
                <w:rStyle w:val="VerbatimChar"/>
                <w:b/>
                <w:bCs/>
              </w:rPr>
              <w:t xml:space="preserve">opponentProfile</w:t>
            </w:r>
            <w:r>
              <w:rPr>
                <w:b/>
                <w:bCs/>
              </w:rPr>
              <w:t xml:space="preserve">,</w:t>
            </w:r>
            <w:r>
              <w:rPr>
                <w:b/>
                <w:bCs/>
              </w:rPr>
              <w:t xml:space="preserve"> </w:t>
            </w:r>
            <w:r>
              <w:rPr>
                <w:rStyle w:val="VerbatimChar"/>
                <w:b/>
                <w:bCs/>
              </w:rPr>
              <w:t xml:space="preserve">tacticalObservations</w:t>
            </w:r>
            <w:r>
              <w:rPr>
                <w:b/>
                <w:bCs/>
              </w:rPr>
              <w:t xml:space="preserve">,</w:t>
            </w:r>
            <w:r>
              <w:rPr>
                <w:b/>
                <w:bCs/>
              </w:rPr>
              <w:t xml:space="preserve"> </w:t>
            </w:r>
            <w:r>
              <w:rPr>
                <w:rStyle w:val="VerbatimChar"/>
                <w:b/>
                <w:bCs/>
              </w:rPr>
              <w:t xml:space="preserve">serveStrategy</w:t>
            </w:r>
            <w:r>
              <w:rPr>
                <w:b/>
                <w:bCs/>
              </w:rPr>
              <w:t xml:space="preserve">,</w:t>
            </w:r>
            <w:r>
              <w:rPr>
                <w:b/>
                <w:bCs/>
              </w:rPr>
              <w:t xml:space="preserve"> </w:t>
            </w:r>
            <w:r>
              <w:rPr>
                <w:rStyle w:val="VerbatimChar"/>
                <w:b/>
                <w:bCs/>
              </w:rPr>
              <w:t xml:space="preserve">returnStrategy</w:t>
            </w:r>
            <w:r>
              <w:rPr>
                <w:b/>
                <w:bCs/>
              </w:rPr>
              <w:t xml:space="preserve"> </w:t>
            </w:r>
            <w:r>
              <w:rPr>
                <w:b/>
                <w:bCs/>
              </w:rPr>
              <w:t xml:space="preserve">+ 3–5 Empfehlungen) auf Basis der kumulierten Head-to-Head-Statistik aus FA-08. Nicht persistiert (Daten ändern sich pro Match); Kostenkontrolle über den gleichen Rate-Limiter wie FA-11.</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V2 fortlaufend: Mit FA-20 ist die zweite KI-Rolle (Gegner-Vorbereitung, Head-to-Head-basiert) bereits implementiert. Offen für V2 bleibt das KI-Live-Coaching während des Matches.</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2"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Xe08da67790b03b2d6c3339f68b193417a43570a"/>
    <w:p>
      <w:pPr>
        <w:pStyle w:val="Heading3"/>
      </w:pPr>
      <w:r>
        <w:t xml:space="preserve">7.1.4 TLS &amp; Secret-Hygiene im Prod-Overlay (TEN-58 / STRIDE T1+S3+S4+I3+D6)</w:t>
      </w:r>
    </w:p>
    <w:p>
      <w:pPr>
        <w:pStyle w:val="FirstParagraph"/>
      </w:pPr>
      <w:r>
        <w:t xml:space="preserve">Der Basis-Compose-File (</w:t>
      </w:r>
      <w:r>
        <w:rPr>
          <w:rStyle w:val="VerbatimChar"/>
        </w:rPr>
        <w:t xml:space="preserve">docker/compose.yml</w:t>
      </w:r>
      <w:r>
        <w:t xml:space="preserve">) ist auf bequemen Dev-Betrieb getrimmt — Default-Credentials (</w:t>
      </w:r>
      <w:r>
        <w:rPr>
          <w:rStyle w:val="VerbatimChar"/>
        </w:rPr>
        <w:t xml:space="preserve">tsas/tsas</w:t>
      </w:r>
      <w:r>
        <w:t xml:space="preserve">,</w:t>
      </w:r>
      <w:r>
        <w:t xml:space="preserve"> </w:t>
      </w:r>
      <w:r>
        <w:rPr>
          <w:rStyle w:val="VerbatimChar"/>
        </w:rPr>
        <w:t xml:space="preserve">admin/admin</w:t>
      </w:r>
      <w:r>
        <w:t xml:space="preserve">), Mailhog statt echtem SMTP, Keycloak im</w:t>
      </w:r>
      <w:r>
        <w:t xml:space="preserve"> </w:t>
      </w:r>
      <w:r>
        <w:rPr>
          <w:rStyle w:val="VerbatimChar"/>
        </w:rPr>
        <w:t xml:space="preserve">start-dev</w:t>
      </w:r>
      <w:r>
        <w:t xml:space="preserve">-Modus mit H2-Volume, nginx auf HTTP. Für produktionsnahe Auslieferung gibt es einen zusätzlichen Overlay</w:t>
      </w:r>
      <w:r>
        <w:t xml:space="preserve"> </w:t>
      </w:r>
      <w:r>
        <w:rPr>
          <w:rStyle w:val="VerbatimChar"/>
        </w:rPr>
        <w:t xml:space="preserve">docker/compose.prod.yml</w:t>
      </w:r>
      <w:r>
        <w:t xml:space="preserve">, der den Basis-Stack so überschreibt, dass die STRIDE-Befunde T1, S3, S4, I3 und D6 mitigiert sind: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Komponente</w:t>
            </w:r>
          </w:p>
        </w:tc>
        <w:tc>
          <w:tcPr/>
          <w:p>
            <w:pPr>
              <w:pStyle w:val="Compact"/>
            </w:pPr>
            <w:r>
              <w:t xml:space="preserve">Massnahme</w:t>
            </w:r>
          </w:p>
        </w:tc>
      </w:tr>
      <w:tr>
        <w:tc>
          <w:tcPr/>
          <w:p>
            <w:pPr>
              <w:pStyle w:val="Compact"/>
            </w:pPr>
            <w:r>
              <w:rPr>
                <w:b/>
                <w:bCs/>
              </w:rPr>
              <w:t xml:space="preserve">nginx (</w:t>
            </w:r>
            <w:r>
              <w:rPr>
                <w:rStyle w:val="VerbatimChar"/>
                <w:b/>
                <w:bCs/>
              </w:rPr>
              <w:t xml:space="preserve">docker/frontend/nginx.prod.conf</w:t>
            </w:r>
            <w:r>
              <w:rPr>
                <w:b/>
                <w:bCs/>
              </w:rPr>
              <w:t xml:space="preserve">)</w:t>
            </w:r>
          </w:p>
        </w:tc>
        <w:tc>
          <w:tcPr/>
          <w:p>
            <w:pPr>
              <w:pStyle w:val="Compact"/>
            </w:pPr>
            <w:r>
              <w:t xml:space="preserve">TLS-Terminierung auf Container-Port 8443 (Host 443); Container-Port 8080 (Host 80) liefert nur HTTP-301-Redirects auf HTTPS. Cert-Mount via</w:t>
            </w:r>
            <w:r>
              <w:t xml:space="preserve"> </w:t>
            </w:r>
            <w:r>
              <w:rPr>
                <w:rStyle w:val="VerbatimChar"/>
              </w:rPr>
              <w:t xml:space="preserve">${TLS_CERT_DIR}/tls.{crt,key}</w:t>
            </w:r>
            <w:r>
              <w:t xml:space="preserve">. Bestehende Security-Header (HSTS, CSP, …) bleiben aktiv.</w:t>
            </w:r>
          </w:p>
        </w:tc>
      </w:tr>
      <w:tr>
        <w:tc>
          <w:tcPr/>
          <w:p>
            <w:pPr>
              <w:pStyle w:val="Compact"/>
            </w:pPr>
            <w:r>
              <w:rPr>
                <w:b/>
                <w:bCs/>
              </w:rPr>
              <w:t xml:space="preserve">Keycloak</w:t>
            </w:r>
          </w:p>
        </w:tc>
        <w:tc>
          <w:tcPr/>
          <w:p>
            <w:pPr>
              <w:pStyle w:val="Compact"/>
            </w:pPr>
            <w:r>
              <w:rPr>
                <w:rStyle w:val="VerbatimChar"/>
              </w:rPr>
              <w:t xml:space="preserve">start --hostname=${KC_HOSTNAME} --proxy-headers=xforwarded --db=postgres --db-url-host=db --db-url-database=${KC_DB_NAME}</w:t>
            </w:r>
            <w:r>
              <w:t xml:space="preserve"> </w:t>
            </w:r>
            <w:r>
              <w:t xml:space="preserve">— Produktionsmodus mit eigener Postgres-DB statt H2; Bootstrap-Admin via</w:t>
            </w:r>
            <w:r>
              <w:t xml:space="preserve"> </w:t>
            </w:r>
            <w:r>
              <w:rPr>
                <w:rStyle w:val="VerbatimChar"/>
              </w:rPr>
              <w:t xml:space="preserve">KC_BOOTSTRAP_ADMIN_USERNAME/PASSWORD</w:t>
            </w:r>
            <w:r>
              <w:t xml:space="preserve">, keine Defaults.</w:t>
            </w:r>
          </w:p>
        </w:tc>
      </w:tr>
      <w:tr>
        <w:tc>
          <w:tcPr/>
          <w:p>
            <w:pPr>
              <w:pStyle w:val="Compact"/>
            </w:pPr>
            <w:r>
              <w:rPr>
                <w:b/>
                <w:bCs/>
              </w:rPr>
              <w:t xml:space="preserve">Postgres</w:t>
            </w:r>
          </w:p>
        </w:tc>
        <w:tc>
          <w:tcPr/>
          <w:p>
            <w:pPr>
              <w:pStyle w:val="Compact"/>
            </w:pPr>
            <w:r>
              <w:rPr>
                <w:rStyle w:val="VerbatimChar"/>
              </w:rPr>
              <w:t xml:space="preserve">${DB_PASSWORD:?…}</w:t>
            </w:r>
            <w:r>
              <w:t xml:space="preserve">-Syntax bricht den Start ab, wenn kein Passwort gesetzt ist. Init-Script</w:t>
            </w:r>
            <w:r>
              <w:t xml:space="preserve"> </w:t>
            </w:r>
            <w:r>
              <w:rPr>
                <w:rStyle w:val="VerbatimChar"/>
              </w:rPr>
              <w:t xml:space="preserve">docker/db/init/01-create-keycloak-db.sh</w:t>
            </w:r>
            <w:r>
              <w:t xml:space="preserve"> </w:t>
            </w:r>
            <w:r>
              <w:t xml:space="preserve">legt die Keycloak-DB + den dedizierten Keycloak-DB-User beim ersten Boot an. Kein Host-Port.</w:t>
            </w:r>
          </w:p>
        </w:tc>
      </w:tr>
      <w:tr>
        <w:tc>
          <w:tcPr/>
          <w:p>
            <w:pPr>
              <w:pStyle w:val="Compact"/>
            </w:pPr>
            <w:r>
              <w:rPr>
                <w:b/>
                <w:bCs/>
              </w:rPr>
              <w:t xml:space="preserve">Backend</w:t>
            </w:r>
          </w:p>
        </w:tc>
        <w:tc>
          <w:tcPr/>
          <w:p>
            <w:pPr>
              <w:pStyle w:val="Compact"/>
            </w:pPr>
            <w:r>
              <w:rPr>
                <w:rStyle w:val="VerbatimChar"/>
              </w:rPr>
              <w:t xml:space="preserve">OPENAI_API_KEY</w:t>
            </w:r>
            <w:r>
              <w:t xml:space="preserve">,</w:t>
            </w:r>
            <w:r>
              <w:t xml:space="preserve"> </w:t>
            </w:r>
            <w:r>
              <w:rPr>
                <w:rStyle w:val="VerbatimChar"/>
              </w:rPr>
              <w:t xml:space="preserve">DB_*</w:t>
            </w:r>
            <w:r>
              <w:t xml:space="preserve">,</w:t>
            </w:r>
            <w:r>
              <w:t xml:space="preserve"> </w:t>
            </w:r>
            <w:r>
              <w:rPr>
                <w:rStyle w:val="VerbatimChar"/>
              </w:rPr>
              <w:t xml:space="preserve">KEYCLOAK_ISSUER_URI</w:t>
            </w:r>
            <w:r>
              <w:t xml:space="preserve"> </w:t>
            </w:r>
            <w:r>
              <w:t xml:space="preserve">alle required (</w:t>
            </w:r>
            <w:r>
              <w:rPr>
                <w:rStyle w:val="VerbatimChar"/>
              </w:rPr>
              <w:t xml:space="preserve">${VAR:?…}</w:t>
            </w:r>
            <w:r>
              <w:t xml:space="preserve">); kein Host-Port — Zugriff nur über den nginx-Reverse-Proxy.</w:t>
            </w:r>
          </w:p>
        </w:tc>
      </w:tr>
      <w:tr>
        <w:tc>
          <w:tcPr/>
          <w:p>
            <w:pPr>
              <w:pStyle w:val="Compact"/>
            </w:pPr>
            <w:r>
              <w:rPr>
                <w:b/>
                <w:bCs/>
              </w:rPr>
              <w:t xml:space="preserve">Mailhog</w:t>
            </w:r>
          </w:p>
        </w:tc>
        <w:tc>
          <w:tcPr/>
          <w:p>
            <w:pPr>
              <w:pStyle w:val="Compact"/>
            </w:pPr>
            <w:r>
              <w:t xml:space="preserve">Entfernt (</w:t>
            </w:r>
            <w:r>
              <w:rPr>
                <w:rStyle w:val="VerbatimChar"/>
              </w:rPr>
              <w:t xml:space="preserve">!reset null</w:t>
            </w:r>
            <w:r>
              <w:t xml:space="preserve">) — Prod nutzt echtes SMTP (Sendgrid, SES, …) via</w:t>
            </w:r>
            <w:r>
              <w:t xml:space="preserve"> </w:t>
            </w:r>
            <w:r>
              <w:rPr>
                <w:rStyle w:val="VerbatimChar"/>
              </w:rPr>
              <w:t xml:space="preserve">KC_SMTP_*</w:t>
            </w:r>
            <w:r>
              <w:t xml:space="preserve">-Env-Vars.</w:t>
            </w:r>
          </w:p>
        </w:tc>
      </w:tr>
    </w:tbl>
    <w:p>
      <w:pPr>
        <w:pStyle w:val="BodyText"/>
      </w:pPr>
      <w:r>
        <w:t xml:space="preserve">Aktivierung:</w:t>
      </w:r>
      <w:r>
        <w:t xml:space="preserve"> </w:t>
      </w:r>
      <w:r>
        <w:rPr>
          <w:rStyle w:val="VerbatimChar"/>
        </w:rPr>
        <w:t xml:space="preserve">podman compose -f docker/compose.yml -f docker/compose.prod.yml up -d --build</w:t>
      </w:r>
      <w:r>
        <w:t xml:space="preserve">. Eine</w:t>
      </w:r>
      <w:r>
        <w:t xml:space="preserve"> </w:t>
      </w:r>
      <w:r>
        <w:rPr>
          <w:rStyle w:val="VerbatimChar"/>
        </w:rPr>
        <w:t xml:space="preserve">.env</w:t>
      </w:r>
      <w:r>
        <w:t xml:space="preserve">-Datei neben</w:t>
      </w:r>
      <w:r>
        <w:t xml:space="preserve"> </w:t>
      </w:r>
      <w:r>
        <w:rPr>
          <w:rStyle w:val="VerbatimChar"/>
        </w:rPr>
        <w:t xml:space="preserve">compose.yml</w:t>
      </w:r>
      <w:r>
        <w:t xml:space="preserve"> </w:t>
      </w:r>
      <w:r>
        <w:t xml:space="preserve">liefert die echten Werte; Vorlage in</w:t>
      </w:r>
      <w:r>
        <w:t xml:space="preserve"> </w:t>
      </w:r>
      <w:r>
        <w:rPr>
          <w:rStyle w:val="VerbatimChar"/>
        </w:rPr>
        <w:t xml:space="preserve">docker/.env.prod.example</w:t>
      </w:r>
      <w:r>
        <w:t xml:space="preserve">. Die Cert-Provisionierung (Let’s Encrypt o. ä.) liegt ausserhalb des Overlays — er erwartet nur, dass</w:t>
      </w:r>
      <w:r>
        <w:t xml:space="preserve"> </w:t>
      </w:r>
      <w:r>
        <w:rPr>
          <w:rStyle w:val="VerbatimChar"/>
        </w:rPr>
        <w:t xml:space="preserve">${TLS_CERT_DIR}</w:t>
      </w:r>
      <w:r>
        <w:t xml:space="preserve"> </w:t>
      </w:r>
      <w:r>
        <w:t xml:space="preserve">existiert und</w:t>
      </w:r>
      <w:r>
        <w:t xml:space="preserve"> </w:t>
      </w:r>
      <w:r>
        <w:rPr>
          <w:rStyle w:val="VerbatimChar"/>
        </w:rPr>
        <w:t xml:space="preserve">tls.crt</w:t>
      </w:r>
      <w:r>
        <w:t xml:space="preserve">/</w:t>
      </w:r>
      <w:r>
        <w:rPr>
          <w:rStyle w:val="VerbatimChar"/>
        </w:rPr>
        <w:t xml:space="preserve">tls.key</w:t>
      </w:r>
      <w:r>
        <w:t xml:space="preserve"> </w:t>
      </w:r>
      <w:r>
        <w:t xml:space="preserve">enthält. Verifiziert via</w:t>
      </w:r>
      <w:r>
        <w:t xml:space="preserve"> </w:t>
      </w:r>
      <w:r>
        <w:rPr>
          <w:rStyle w:val="VerbatimChar"/>
        </w:rPr>
        <w:t xml:space="preserve">podman compose … config</w:t>
      </w:r>
      <w:r>
        <w:t xml:space="preserve"> </w:t>
      </w:r>
      <w:r>
        <w:t xml:space="preserve">(Syntax-Check) und exemplarischen</w:t>
      </w:r>
      <w:r>
        <w:t xml:space="preserve"> </w:t>
      </w:r>
      <w:r>
        <w:rPr>
          <w:rStyle w:val="VerbatimChar"/>
        </w:rPr>
        <w:t xml:space="preserve">openssl s_client</w:t>
      </w:r>
      <w:r>
        <w:t xml:space="preserve">-/</w:t>
      </w:r>
      <w:r>
        <w:rPr>
          <w:rStyle w:val="VerbatimChar"/>
        </w:rPr>
        <w:t xml:space="preserve">curl -I</w:t>
      </w:r>
      <w:r>
        <w:t xml:space="preserve">-Smoke-Tests (siehe README).</w:t>
      </w:r>
    </w:p>
    <w:bookmarkEnd w:id="60"/>
    <w:bookmarkStart w:id="61"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1"/>
    <w:bookmarkEnd w:id="62"/>
    <w:bookmarkStart w:id="70" w:name="querschnittliche-konzepte"/>
    <w:p>
      <w:pPr>
        <w:pStyle w:val="Heading2"/>
      </w:pPr>
      <w:r>
        <w:t xml:space="preserve">8. Querschnittliche Konzepte</w:t>
      </w:r>
    </w:p>
    <w:bookmarkStart w:id="63"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Test-Profil-Guard (TEN-57 / STRIDE E2).</w:t>
      </w:r>
      <w:r>
        <w:t xml:space="preserve"> </w:t>
      </w:r>
      <w:r>
        <w:t xml:space="preserve">Das</w:t>
      </w:r>
      <w:r>
        <w:t xml:space="preserve"> </w:t>
      </w:r>
      <w:r>
        <w:rPr>
          <w:rStyle w:val="VerbatimChar"/>
        </w:rPr>
        <w:t xml:space="preserve">test</w:t>
      </w:r>
      <w:r>
        <w:t xml:space="preserve">-Profil aktiviert einen</w:t>
      </w:r>
      <w:r>
        <w:t xml:space="preserve"> </w:t>
      </w:r>
      <w:r>
        <w:rPr>
          <w:rStyle w:val="VerbatimChar"/>
        </w:rPr>
        <w:t xml:space="preserve">permitAll</w:t>
      </w:r>
      <w:r>
        <w:t xml:space="preserve">-</w:t>
      </w:r>
      <w:r>
        <w:rPr>
          <w:rStyle w:val="VerbatimChar"/>
        </w:rPr>
        <w:t xml:space="preserve">SecurityFilterChain</w:t>
      </w:r>
      <w:r>
        <w:t xml:space="preserve"> </w:t>
      </w:r>
      <w:r>
        <w:t xml:space="preserve">für Integrationstests. Damit dieser niemals in einer produktiven Laufzeit auftaucht, lebt der zugehörige Bean</w:t>
      </w:r>
      <w:r>
        <w:t xml:space="preserve"> </w:t>
      </w:r>
      <w:r>
        <w:rPr>
          <w:rStyle w:val="VerbatimChar"/>
        </w:rPr>
        <w:t xml:space="preserve">TestProfileSecurityConfig</w:t>
      </w:r>
      <w:r>
        <w:t xml:space="preserve"> </w:t>
      </w:r>
      <w:r>
        <w:t xml:space="preserve">ausschliesslich in</w:t>
      </w:r>
      <w:r>
        <w:t xml:space="preserve"> </w:t>
      </w:r>
      <w:r>
        <w:rPr>
          <w:rStyle w:val="VerbatimChar"/>
        </w:rPr>
        <w:t xml:space="preserve">auth-module/src/testFixtures/</w:t>
      </w:r>
      <w:r>
        <w:t xml:space="preserve"> </w:t>
      </w:r>
      <w:r>
        <w:t xml:space="preserve">(wird nicht in das Boot-Jar gepackt, sondern via</w:t>
      </w:r>
      <w:r>
        <w:t xml:space="preserve"> </w:t>
      </w:r>
      <w:r>
        <w:rPr>
          <w:rStyle w:val="VerbatimChar"/>
        </w:rPr>
        <w:t xml:space="preserve">testImplementation(testFixtures(":auth-module"))</w:t>
      </w:r>
      <w:r>
        <w:t xml:space="preserve"> </w:t>
      </w:r>
      <w:r>
        <w:t xml:space="preserve">an Tests bereitgestellt). Zusätzlich greift</w:t>
      </w:r>
      <w:r>
        <w:t xml:space="preserve"> </w:t>
      </w:r>
      <w:r>
        <w:rPr>
          <w:rStyle w:val="VerbatimChar"/>
        </w:rPr>
        <w:t xml:space="preserve">TestProfileGuard</w:t>
      </w:r>
      <w:r>
        <w:t xml:space="preserve"> </w:t>
      </w:r>
      <w:r>
        <w:t xml:space="preserve">als</w:t>
      </w:r>
      <w:r>
        <w:t xml:space="preserve"> </w:t>
      </w:r>
      <w:r>
        <w:rPr>
          <w:rStyle w:val="VerbatimChar"/>
        </w:rPr>
        <w:t xml:space="preserve">EnvironmentPostProcessor</w:t>
      </w:r>
      <w:r>
        <w:t xml:space="preserve"> </w:t>
      </w:r>
      <w:r>
        <w:t xml:space="preserve">(registriert über</w:t>
      </w:r>
      <w:r>
        <w:t xml:space="preserve"> </w:t>
      </w:r>
      <w:r>
        <w:rPr>
          <w:rStyle w:val="VerbatimChar"/>
        </w:rPr>
        <w:t xml:space="preserve">META-INF/spring/org.springframework.boot.env.EnvironmentPostProcessor.imports</w:t>
      </w:r>
      <w:r>
        <w:t xml:space="preserve">) und bricht den Boot mit einer</w:t>
      </w:r>
      <w:r>
        <w:t xml:space="preserve"> </w:t>
      </w:r>
      <w:r>
        <w:rPr>
          <w:rStyle w:val="VerbatimChar"/>
        </w:rPr>
        <w:t xml:space="preserve">IllegalStateException</w:t>
      </w:r>
      <w:r>
        <w:t xml:space="preserve"> </w:t>
      </w:r>
      <w:r>
        <w:t xml:space="preserve">ab, sobald das</w:t>
      </w:r>
      <w:r>
        <w:t xml:space="preserve"> </w:t>
      </w:r>
      <w:r>
        <w:rPr>
          <w:rStyle w:val="VerbatimChar"/>
        </w:rPr>
        <w:t xml:space="preserve">test</w:t>
      </w:r>
      <w:r>
        <w:t xml:space="preserve">-Profil entweder (a) zusammen mit</w:t>
      </w:r>
      <w:r>
        <w:t xml:space="preserve"> </w:t>
      </w:r>
      <w:r>
        <w:rPr>
          <w:rStyle w:val="VerbatimChar"/>
        </w:rPr>
        <w:t xml:space="preserve">prod</w:t>
      </w:r>
      <w:r>
        <w:t xml:space="preserve">/</w:t>
      </w:r>
      <w:r>
        <w:rPr>
          <w:rStyle w:val="VerbatimChar"/>
        </w:rPr>
        <w:t xml:space="preserve">production</w:t>
      </w:r>
      <w:r>
        <w:t xml:space="preserve">/</w:t>
      </w:r>
      <w:r>
        <w:rPr>
          <w:rStyle w:val="VerbatimChar"/>
        </w:rPr>
        <w:t xml:space="preserve">docker</w:t>
      </w:r>
      <w:r>
        <w:t xml:space="preserve"> </w:t>
      </w:r>
      <w:r>
        <w:t xml:space="preserve">aktiv ist oder (b)</w:t>
      </w:r>
      <w:r>
        <w:t xml:space="preserve"> </w:t>
      </w:r>
      <w:r>
        <w:rPr>
          <w:rStyle w:val="VerbatimChar"/>
        </w:rPr>
        <w:t xml:space="preserve">spring.datasource.url</w:t>
      </w:r>
      <w:r>
        <w:t xml:space="preserve"> </w:t>
      </w:r>
      <w:r>
        <w:t xml:space="preserve">nicht auf eine In-Memory-H2-URL zeigt. Acht Unit-Tests decken alle erlaubten und verbotenen Kombinationen ab. Beim aktiven</w:t>
      </w:r>
      <w:r>
        <w:t xml:space="preserve"> </w:t>
      </w:r>
      <w:r>
        <w:rPr>
          <w:rStyle w:val="VerbatimChar"/>
        </w:rPr>
        <w:t xml:space="preserve">permitAll</w:t>
      </w:r>
      <w:r>
        <w:t xml:space="preserve">-Bean loggt eine</w:t>
      </w:r>
      <w:r>
        <w:t xml:space="preserve"> </w:t>
      </w:r>
      <w:r>
        <w:rPr>
          <w:rStyle w:val="VerbatimChar"/>
        </w:rPr>
        <w:t xml:space="preserve">@PostConstruct</w:t>
      </w:r>
      <w:r>
        <w:t xml:space="preserve">-Hook eine deutliche Warnung in den Startup-Output.</w:t>
      </w:r>
    </w:p>
    <w:p>
      <w:pPr>
        <w:pStyle w:val="BodyText"/>
      </w:pPr>
      <w:r>
        <w:rPr>
          <w:b/>
          <w:bCs/>
        </w:rPr>
        <w:t xml:space="preserve">JWT-Validierung (TEN-56 / STRIDE S1).</w:t>
      </w:r>
      <w:r>
        <w:t xml:space="preserve"> </w:t>
      </w:r>
      <w:r>
        <w:t xml:space="preserve">Der</w:t>
      </w:r>
      <w:r>
        <w:t xml:space="preserve"> </w:t>
      </w:r>
      <w:r>
        <w:rPr>
          <w:rStyle w:val="VerbatimChar"/>
        </w:rPr>
        <w:t xml:space="preserve">JwtDecoder</w:t>
      </w:r>
      <w:r>
        <w:t xml:space="preserve"> </w:t>
      </w:r>
      <w:r>
        <w:t xml:space="preserve">kombiniert über</w:t>
      </w:r>
      <w:r>
        <w:t xml:space="preserve"> </w:t>
      </w:r>
      <w:r>
        <w:rPr>
          <w:rStyle w:val="VerbatimChar"/>
        </w:rPr>
        <w:t xml:space="preserve">DelegatingOAuth2TokenValidator</w:t>
      </w:r>
      <w:r>
        <w:t xml:space="preserve"> </w:t>
      </w:r>
      <w:r>
        <w:t xml:space="preserve">drei Validatoren: (a)</w:t>
      </w:r>
      <w:r>
        <w:t xml:space="preserve"> </w:t>
      </w:r>
      <w:r>
        <w:rPr>
          <w:rStyle w:val="VerbatimChar"/>
        </w:rPr>
        <w:t xml:space="preserve">JwtValidators.createDefaultWithIssuer(issuerUri)</w:t>
      </w:r>
      <w:r>
        <w:t xml:space="preserve"> </w:t>
      </w:r>
      <w:r>
        <w:t xml:space="preserve">für</w:t>
      </w:r>
      <w:r>
        <w:t xml:space="preserve"> </w:t>
      </w:r>
      <w:r>
        <w:rPr>
          <w:rStyle w:val="VerbatimChar"/>
        </w:rPr>
        <w:t xml:space="preserve">iss</w:t>
      </w:r>
      <w:r>
        <w:t xml:space="preserve"> </w:t>
      </w:r>
      <w:r>
        <w:t xml:space="preserve">und Default-Claims (Ablauf etc.); (b) JWK-Set-basierte Signaturprüfung über den Nimbus-Decoder; (c)</w:t>
      </w:r>
      <w:r>
        <w:t xml:space="preserve"> </w:t>
      </w:r>
      <w:r>
        <w:rPr>
          <w:rStyle w:val="VerbatimChar"/>
        </w:rPr>
        <w:t xml:space="preserve">JwtClaimValidator("aud", a -&gt; a != null &amp;&amp; a.contains("tsas-frontend"))</w:t>
      </w:r>
      <w:r>
        <w:t xml:space="preserve"> </w:t>
      </w:r>
      <w:r>
        <w:t xml:space="preserve">für die Audience. Ohne (c) würde jedes Token aus der</w:t>
      </w:r>
      <w:r>
        <w:t xml:space="preserve"> </w:t>
      </w:r>
      <w:r>
        <w:rPr>
          <w:rStyle w:val="VerbatimChar"/>
        </w:rPr>
        <w:t xml:space="preserve">tsas</w:t>
      </w:r>
      <w:r>
        <w:t xml:space="preserve">-Realm akzeptiert — auch eines für einen anderen Client mit höheren Privilegien. Die erwartete Audience ist über</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konfigurierbar; Keycloak liefert das</w:t>
      </w:r>
      <w:r>
        <w:t xml:space="preserve"> </w:t>
      </w:r>
      <w:r>
        <w:rPr>
          <w:rStyle w:val="VerbatimChar"/>
        </w:rPr>
        <w:t xml:space="preserve">aud</w:t>
      </w:r>
      <w:r>
        <w:t xml:space="preserve">-Claim per</w:t>
      </w:r>
      <w:r>
        <w:t xml:space="preserve"> </w:t>
      </w:r>
      <w:r>
        <w:rPr>
          <w:rStyle w:val="VerbatimChar"/>
        </w:rPr>
        <w:t xml:space="preserve">oidc-audience-mapper</w:t>
      </w:r>
      <w:r>
        <w:t xml:space="preserve"> </w:t>
      </w:r>
      <w:r>
        <w:t xml:space="preserve">auf dem</w:t>
      </w:r>
      <w:r>
        <w:t xml:space="preserve"> </w:t>
      </w:r>
      <w:r>
        <w:rPr>
          <w:rStyle w:val="VerbatimChar"/>
        </w:rPr>
        <w:t xml:space="preserve">tsas-frontend</w:t>
      </w:r>
      <w:r>
        <w:t xml:space="preserve">-Client (siehe</w:t>
      </w:r>
      <w:r>
        <w:t xml:space="preserve"> </w:t>
      </w:r>
      <w:r>
        <w:rPr>
          <w:rStyle w:val="VerbatimChar"/>
        </w:rPr>
        <w:t xml:space="preserve">docker/keycloak/realm-export.json</w:t>
      </w:r>
      <w:r>
        <w:t xml:space="preserve">).</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3"/>
    <w:bookmarkStart w:id="64"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4"/>
    <w:bookmarkStart w:id="65"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w:t>
      </w:r>
      <w:r>
        <w:t xml:space="preserve"> </w:t>
      </w:r>
      <w:r>
        <w:rPr>
          <w:rStyle w:val="VerbatimChar"/>
        </w:rPr>
        <w:t xml:space="preserve">@Order(LOWEST_PRECEDENCE)</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rPr>
          <w:b/>
          <w:bCs/>
        </w:rPr>
        <w:t xml:space="preserve">Catch-all + Sanitization (TEN-61 / STRIDE I5+I6).</w:t>
      </w:r>
      <w:r>
        <w:t xml:space="preserve"> </w:t>
      </w:r>
      <w:r>
        <w:t xml:space="preserve">Der</w:t>
      </w:r>
      <w:r>
        <w:t xml:space="preserve"> </w:t>
      </w:r>
      <w:r>
        <w:rPr>
          <w:rStyle w:val="VerbatimChar"/>
        </w:rPr>
        <w:t xml:space="preserve">CommonExceptionHandler</w:t>
      </w:r>
      <w:r>
        <w:t xml:space="preserve"> </w:t>
      </w:r>
      <w:r>
        <w:t xml:space="preserve">fängt zusätzlich vier breite Klassen ab und sorgt dafür, dass keine internen Details (Klassenpfade, SQL-Schnipsel, Stack-Traces) in die Antwort lecken: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Exception</w:t>
            </w:r>
          </w:p>
        </w:tc>
        <w:tc>
          <w:tcPr/>
          <w:p>
            <w:pPr>
              <w:pStyle w:val="Compact"/>
            </w:pPr>
            <w:r>
              <w:t xml:space="preserve">Status</w:t>
            </w:r>
          </w:p>
        </w:tc>
        <w:tc>
          <w:tcPr/>
          <w:p>
            <w:pPr>
              <w:pStyle w:val="Compact"/>
            </w:pPr>
            <w:r>
              <w:t xml:space="preserve">Detail in der Response</w:t>
            </w:r>
          </w:p>
        </w:tc>
      </w:tr>
      <w:tr>
        <w:tc>
          <w:tcPr/>
          <w:p>
            <w:pPr>
              <w:pStyle w:val="Compact"/>
            </w:pPr>
            <w:r>
              <w:rPr>
                <w:rStyle w:val="VerbatimChar"/>
              </w:rPr>
              <w:t xml:space="preserve">ResponseStatusException</w:t>
            </w:r>
          </w:p>
        </w:tc>
        <w:tc>
          <w:tcPr/>
          <w:p>
            <w:pPr>
              <w:pStyle w:val="Compact"/>
            </w:pPr>
            <w:r>
              <w:t xml:space="preserve">aus der Exception</w:t>
            </w:r>
          </w:p>
        </w:tc>
        <w:tc>
          <w:tcPr/>
          <w:p>
            <w:pPr>
              <w:pStyle w:val="Compact"/>
            </w:pPr>
            <w:r>
              <w:t xml:space="preserve">Reason (falls gesetzt) oder Standard-Phrase</w:t>
            </w:r>
          </w:p>
        </w:tc>
      </w:tr>
      <w:tr>
        <w:tc>
          <w:tcPr/>
          <w:p>
            <w:pPr>
              <w:pStyle w:val="Compact"/>
            </w:pPr>
            <w:r>
              <w:rPr>
                <w:rStyle w:val="VerbatimChar"/>
              </w:rPr>
              <w:t xml:space="preserve">DataIntegrityViolationException</w:t>
            </w:r>
          </w:p>
        </w:tc>
        <w:tc>
          <w:tcPr/>
          <w:p>
            <w:pPr>
              <w:pStyle w:val="Compact"/>
            </w:pPr>
            <w:r>
              <w:t xml:space="preserve">409</w:t>
            </w:r>
          </w:p>
        </w:tc>
        <w:tc>
          <w:tcPr/>
          <w:p>
            <w:pPr>
              <w:pStyle w:val="Compact"/>
            </w:pPr>
            <w:r>
              <w:t xml:space="preserve">Generisch („Datenkonflikt: eine Datenbank-Constraint wurde verletzt …“); Original-SQL/Schema wird intern via WARN geloggt</w:t>
            </w:r>
          </w:p>
        </w:tc>
      </w:tr>
      <w:tr>
        <w:tc>
          <w:tcPr/>
          <w:p>
            <w:pPr>
              <w:pStyle w:val="Compact"/>
            </w:pPr>
            <w:r>
              <w:rPr>
                <w:rStyle w:val="VerbatimChar"/>
              </w:rPr>
              <w:t xml:space="preserve">AccessDeniedException</w:t>
            </w:r>
          </w:p>
        </w:tc>
        <w:tc>
          <w:tcPr/>
          <w:p>
            <w:pPr>
              <w:pStyle w:val="Compact"/>
            </w:pPr>
            <w:r>
              <w:t xml:space="preserve">403</w:t>
            </w:r>
          </w:p>
        </w:tc>
        <w:tc>
          <w:tcPr/>
          <w:p>
            <w:pPr>
              <w:pStyle w:val="Compact"/>
            </w:pPr>
            <w:r>
              <w:t xml:space="preserve">„Zugriff verweigert.” (Original-Message nicht durchgereicht)</w:t>
            </w:r>
          </w:p>
        </w:tc>
      </w:tr>
      <w:tr>
        <w:tc>
          <w:tcPr/>
          <w:p>
            <w:pPr>
              <w:pStyle w:val="Compact"/>
            </w:pPr>
            <w:r>
              <w:rPr>
                <w:rStyle w:val="VerbatimChar"/>
              </w:rPr>
              <w:t xml:space="preserve">Exception</w:t>
            </w:r>
            <w:r>
              <w:t xml:space="preserve"> </w:t>
            </w:r>
            <w:r>
              <w:t xml:space="preserve">(Catch-all)</w:t>
            </w:r>
          </w:p>
        </w:tc>
        <w:tc>
          <w:tcPr/>
          <w:p>
            <w:pPr>
              <w:pStyle w:val="Compact"/>
            </w:pPr>
            <w:r>
              <w:t xml:space="preserve">500</w:t>
            </w:r>
          </w:p>
        </w:tc>
        <w:tc>
          <w:tcPr/>
          <w:p>
            <w:pPr>
              <w:pStyle w:val="Compact"/>
            </w:pPr>
            <w:r>
              <w:t xml:space="preserve">„Ein interner Fehler ist aufgetreten. …“; Original mit vollem Stack-Trace via ERROR geloggt</w:t>
            </w:r>
          </w:p>
        </w:tc>
      </w:tr>
    </w:tbl>
    <w:p>
      <w:pPr>
        <w:pStyle w:val="BodyText"/>
      </w:pPr>
      <w:r>
        <w:t xml:space="preserve">Ergänzend setzen die</w:t>
      </w:r>
      <w:r>
        <w:t xml:space="preserve"> </w:t>
      </w:r>
      <w:r>
        <w:rPr>
          <w:rStyle w:val="VerbatimChar"/>
        </w:rPr>
        <w:t xml:space="preserve">server.error.include-*: never</w:t>
      </w:r>
      <w:r>
        <w:t xml:space="preserve">/</w:t>
      </w:r>
      <w:r>
        <w:rPr>
          <w:rStyle w:val="VerbatimChar"/>
        </w:rPr>
        <w:t xml:space="preserve">false</w:t>
      </w:r>
      <w:r>
        <w:t xml:space="preserve">-Properties in</w:t>
      </w:r>
      <w:r>
        <w:t xml:space="preserve"> </w:t>
      </w:r>
      <w:r>
        <w:rPr>
          <w:rStyle w:val="VerbatimChar"/>
        </w:rPr>
        <w:t xml:space="preserve">application.yml</w:t>
      </w:r>
      <w:r>
        <w:t xml:space="preserve"> </w:t>
      </w:r>
      <w:r>
        <w:t xml:space="preserve">Springs Whitelabel-Fallback auf still — falls das Catch-all je umgangen wird, bleibt die Response trotzdem sanitisiert. Unit-Tests in</w:t>
      </w:r>
      <w:r>
        <w:t xml:space="preserve"> </w:t>
      </w:r>
      <w:r>
        <w:rPr>
          <w:rStyle w:val="VerbatimChar"/>
        </w:rPr>
        <w:t xml:space="preserve">CommonExceptionHandlerTest</w:t>
      </w:r>
      <w:r>
        <w:t xml:space="preserve"> </w:t>
      </w:r>
      <w:r>
        <w:t xml:space="preserve">(7 Pfade) asserten konkret, dass weder SQL noch UUIDs noch Klassennamen in der</w:t>
      </w:r>
      <w:r>
        <w:t xml:space="preserve"> </w:t>
      </w:r>
      <w:r>
        <w:rPr>
          <w:rStyle w:val="VerbatimChar"/>
        </w:rPr>
        <w:t xml:space="preserve">detail</w:t>
      </w:r>
      <w:r>
        <w:t xml:space="preserve">-Zeile auftauchen.</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5"/>
    <w:bookmarkStart w:id="66"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6"/>
    <w:bookmarkStart w:id="67"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7"/>
    <w:bookmarkStart w:id="68"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8"/>
    <w:bookmarkStart w:id="69"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9"/>
    <w:bookmarkEnd w:id="70"/>
    <w:bookmarkStart w:id="71"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1"/>
    <w:bookmarkStart w:id="74" w:name="qualitätsanforderungen"/>
    <w:p>
      <w:pPr>
        <w:pStyle w:val="Heading2"/>
      </w:pPr>
      <w:r>
        <w:t xml:space="preserve">10. Qualitätsanforderungen</w:t>
      </w:r>
    </w:p>
    <w:bookmarkStart w:id="72"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r>
        <w:tc>
          <w:tcPr/>
          <w:p>
            <w:pPr>
              <w:pStyle w:val="Compact"/>
            </w:pPr>
            <w:r>
              <w:t xml:space="preserve">FA-20</w:t>
            </w:r>
          </w:p>
        </w:tc>
        <w:tc>
          <w:tcPr/>
          <w:p>
            <w:pPr>
              <w:pStyle w:val="Compact"/>
            </w:pPr>
            <w:r>
              <w:rPr>
                <w:b/>
                <w:bCs/>
              </w:rPr>
              <w:t xml:space="preserve">KI-Vorbereitung gegen einen Gegner (Head-to-Head)</w:t>
            </w:r>
          </w:p>
        </w:tc>
        <w:tc>
          <w:tcPr/>
          <w:p>
            <w:pPr>
              <w:pStyle w:val="Compact"/>
            </w:pPr>
            <w:r>
              <w:t xml:space="preserve">Ein authentifizierter Benutzer kann über</w:t>
            </w:r>
            <w:r>
              <w:t xml:space="preserve"> </w:t>
            </w:r>
            <w:r>
              <w:rPr>
                <w:rStyle w:val="VerbatimChar"/>
              </w:rPr>
              <w:t xml:space="preserve">POST /api/players/{ownPlayerId}/opponent-preparation/{opponentId}</w:t>
            </w:r>
            <w:r>
              <w:t xml:space="preserve"> </w:t>
            </w:r>
            <w:r>
              <w:t xml:space="preserve">eine vorausschauende taktische Vorbereitung für den eigenen Spieler gegen einen Gegner generieren. Das Backend lädt beide Spieler-Profile (Name, Ranking, Handedness, Backhand-Typ), aggregiert die Head-to-Head-Statistik aus FA-08 (</w:t>
            </w:r>
            <w:r>
              <w:rPr>
                <w:rStyle w:val="VerbatimChar"/>
              </w:rPr>
              <w:t xml:space="preserve">ComputeHeadToHeadStatisticsUseCase</w:t>
            </w:r>
            <w:r>
              <w:t xml:space="preserve">), baut einen Prompt aus Spieler-Metadaten und kumulierten Head-to-Head-Kennzahlen je Spieler (Aufschlag-/Return-Werte, Breakpoints, Winners/UE) und ruft via Spring AI ein LLM (Default OpenAI</w:t>
            </w:r>
            <w:r>
              <w:t xml:space="preserve"> </w:t>
            </w:r>
            <w:r>
              <w:rPr>
                <w:rStyle w:val="VerbatimChar"/>
              </w:rPr>
              <w:t xml:space="preserve">gpt-4o-mini</w:t>
            </w:r>
            <w:r>
              <w:t xml:space="preserve">). Die Antwort enthält vier strukturierte Textfelder (</w:t>
            </w:r>
            <w:r>
              <w:rPr>
                <w:rStyle w:val="VerbatimChar"/>
              </w:rPr>
              <w:t xml:space="preserve">opponentProfile</w:t>
            </w:r>
            <w:r>
              <w:t xml:space="preserve">,</w:t>
            </w:r>
            <w:r>
              <w:t xml:space="preserve"> </w:t>
            </w:r>
            <w:r>
              <w:rPr>
                <w:rStyle w:val="VerbatimChar"/>
              </w:rPr>
              <w:t xml:space="preserve">tacticalObservations</w:t>
            </w:r>
            <w:r>
              <w:t xml:space="preserve">,</w:t>
            </w:r>
            <w:r>
              <w:t xml:space="preserve"> </w:t>
            </w:r>
            <w:r>
              <w:rPr>
                <w:rStyle w:val="VerbatimChar"/>
              </w:rPr>
              <w:t xml:space="preserve">serveStrategy</w:t>
            </w:r>
            <w:r>
              <w:t xml:space="preserve">,</w:t>
            </w:r>
            <w:r>
              <w:t xml:space="preserve"> </w:t>
            </w:r>
            <w:r>
              <w:rPr>
                <w:rStyle w:val="VerbatimChar"/>
              </w:rPr>
              <w:t xml:space="preserve">returnStrategy</w:t>
            </w:r>
            <w:r>
              <w:t xml:space="preserve">) und 3–5 priorisierte Empfehlungen. Im Gegensatz zur FA-11-Postmortem-Analyse wird das Ergebnis</w:t>
            </w:r>
            <w:r>
              <w:t xml:space="preserve"> </w:t>
            </w:r>
            <w:r>
              <w:t xml:space="preserve">nicht persistiert</w:t>
            </w:r>
            <w:r>
              <w:t xml:space="preserve"> </w:t>
            </w:r>
            <w:r>
              <w:t xml:space="preserve">— der Head-to-Head-Stand ändert sich mit jedem neuen Match, eine gecachte Empfehlung wäre nach kurzer Zeit veraltet. Kostenkontrolle erfolgt über den gleichen Rate-Limiter wie FA-11 (siehe §7.1.3 / TEN-64). HTTP-Codes: 200 (erfolgreich), 400 (</w:t>
            </w:r>
            <w:r>
              <w:rPr>
                <w:rStyle w:val="VerbatimChar"/>
              </w:rPr>
              <w:t xml:space="preserve">ownPlayerId == opponentId</w:t>
            </w:r>
            <w:r>
              <w:t xml:space="preserve">), 404 (ein Spieler nicht gefunden oder gehört einem anderen Owner — IDOR-Schutz: bewusst 404 statt 403, damit fremde IDs nicht enumerierbar werden), 422 (kein gemeinsames abgeschlossenes Match), 429 (Rate-Limit), 502 (LLM-Fehler). Antwortzeit ≤ 60 s. Im Frontend ist der Aufruf direkt auf der Head-to-Head-Seite (</w:t>
            </w:r>
            <w:r>
              <w:rPr>
                <w:rStyle w:val="VerbatimChar"/>
              </w:rPr>
              <w:t xml:space="preserve">/statistics/head-to-head</w:t>
            </w:r>
            <w:r>
              <w:t xml:space="preserve">) verankert: ist mindestens ein gemeinsames Match vorhanden, erscheint unter der Statistik der Button „KI-Vorbereitung gegen</w:t>
            </w:r>
            <w:r>
              <w:t xml:space="preserve"> </w:t>
            </w:r>
            <w:r>
              <w:t xml:space="preserve"> </w:t>
            </w:r>
            <w:r>
              <w:t xml:space="preserve">anfordern” mit Spinner-Feedback; das Ergebnis wird darunter als Karte mit den vier Textfeldern und nummerierten Empfehlungen gerendert. Sprache: aus den User-Preferences (</w:t>
            </w:r>
            <w:r>
              <w:rPr>
                <w:rStyle w:val="VerbatimChar"/>
              </w:rPr>
              <w:t xml:space="preserve">UserLanguagePort</w:t>
            </w:r>
            <w:r>
              <w:t xml:space="preserve">), siehe FA-21.</w:t>
            </w:r>
          </w:p>
        </w:tc>
        <w:tc>
          <w:tcPr/>
          <w:p>
            <w:pPr>
              <w:pStyle w:val="Compact"/>
            </w:pPr>
            <w:r>
              <w:t xml:space="preserve">V2</w:t>
            </w:r>
          </w:p>
        </w:tc>
      </w:tr>
      <w:tr>
        <w:tc>
          <w:tcPr/>
          <w:p>
            <w:pPr>
              <w:pStyle w:val="Compact"/>
            </w:pPr>
            <w:r>
              <w:t xml:space="preserve">FA-21</w:t>
            </w:r>
          </w:p>
        </w:tc>
        <w:tc>
          <w:tcPr/>
          <w:p>
            <w:pPr>
              <w:pStyle w:val="Compact"/>
            </w:pPr>
            <w:r>
              <w:rPr>
                <w:b/>
                <w:bCs/>
              </w:rPr>
              <w:t xml:space="preserve">Mehrsprachigkeit (DE/EN/IT/FR)</w:t>
            </w:r>
          </w:p>
        </w:tc>
        <w:tc>
          <w:tcPr/>
          <w:p>
            <w:pPr>
              <w:pStyle w:val="Compact"/>
            </w:pPr>
            <w:r>
              <w:t xml:space="preserve">Die UI ist in vier Sprachen verfügbar: Deutsch (Default), Englisch, Italienisch und Französisch. Sprachauswahl über einen Picker in der Toolbar (Material-Menü mit Landesflagge je Eintrag, oben rechts). Die gewählte Sprache wird über ngx-translate 18 zur Laufzeit aktiviert (JSON-Locale-Files unter</w:t>
            </w:r>
            <w:r>
              <w:t xml:space="preserve"> </w:t>
            </w:r>
            <w:r>
              <w:rPr>
                <w:rStyle w:val="VerbatimChar"/>
              </w:rPr>
              <w:t xml:space="preserve">frontend/public/i18n/{de,en,it,fr}.json</w:t>
            </w:r>
            <w:r>
              <w:t xml:space="preserve">) und persistiert in der Backend-Tabelle</w:t>
            </w:r>
            <w:r>
              <w:t xml:space="preserve"> </w:t>
            </w:r>
            <w:r>
              <w:rPr>
                <w:rStyle w:val="VerbatimChar"/>
              </w:rPr>
              <w:t xml:space="preserve">user_preferences</w:t>
            </w:r>
            <w:r>
              <w:t xml:space="preserve"> </w:t>
            </w:r>
            <w:r>
              <w:t xml:space="preserve">(Primärschlüssel = Keycloak-</w:t>
            </w:r>
            <w:r>
              <w:rPr>
                <w:rStyle w:val="VerbatimChar"/>
              </w:rPr>
              <w:t xml:space="preserve">sub</w:t>
            </w:r>
            <w:r>
              <w:t xml:space="preserve">, Default</w:t>
            </w:r>
            <w:r>
              <w:t xml:space="preserve"> </w:t>
            </w:r>
            <w:r>
              <w:rPr>
                <w:rStyle w:val="VerbatimChar"/>
              </w:rPr>
              <w:t xml:space="preserve">de</w:t>
            </w:r>
            <w:r>
              <w:t xml:space="preserve">, CHECK-Constraint auf die vier unterstützten Codes). Die</w:t>
            </w:r>
            <w:r>
              <w:t xml:space="preserve"> </w:t>
            </w:r>
            <w:r>
              <w:rPr>
                <w:rStyle w:val="VerbatimChar"/>
              </w:rPr>
              <w:t xml:space="preserve">LanguageService</w:t>
            </w:r>
            <w:r>
              <w:t xml:space="preserve"> </w:t>
            </w:r>
            <w:r>
              <w:t xml:space="preserve">lädt beim App-Boot die Sprache vom Backend (</w:t>
            </w:r>
            <w:r>
              <w:rPr>
                <w:rStyle w:val="VerbatimChar"/>
              </w:rPr>
              <w:t xml:space="preserve">GET /api/user-preferences</w:t>
            </w:r>
            <w:r>
              <w:t xml:space="preserve">), wechselt via</w:t>
            </w:r>
            <w:r>
              <w:t xml:space="preserve"> </w:t>
            </w:r>
            <w:r>
              <w:rPr>
                <w:rStyle w:val="VerbatimChar"/>
              </w:rPr>
              <w:t xml:space="preserve">TranslateService.use()</w:t>
            </w:r>
            <w:r>
              <w:t xml:space="preserve"> </w:t>
            </w:r>
            <w:r>
              <w:t xml:space="preserve">und schreibt Änderungen zurück (</w:t>
            </w:r>
            <w:r>
              <w:rPr>
                <w:rStyle w:val="VerbatimChar"/>
              </w:rPr>
              <w:t xml:space="preserve">PUT /api/user-preferences</w:t>
            </w:r>
            <w:r>
              <w:t xml:space="preserve">, Body</w:t>
            </w:r>
            <w:r>
              <w:t xml:space="preserve"> </w:t>
            </w:r>
            <w:r>
              <w:rPr>
                <w:rStyle w:val="VerbatimChar"/>
              </w:rPr>
              <w:t xml:space="preserve">{language}</w:t>
            </w:r>
            <w:r>
              <w:t xml:space="preserve">). Zusätzlich Fallback in</w:t>
            </w:r>
            <w:r>
              <w:t xml:space="preserve"> </w:t>
            </w:r>
            <w:r>
              <w:rPr>
                <w:rStyle w:val="VerbatimChar"/>
              </w:rPr>
              <w:t xml:space="preserve">localStorage</w:t>
            </w:r>
            <w:r>
              <w:t xml:space="preserve">, damit anonyme oder noch-nicht-eingeloggte Sessions konsistent bleiben. Die KI-Antworten (FA-11 Postmortem, FA-20 Vorbereitung) folgen der gewählten Sprache: der</w:t>
            </w:r>
            <w:r>
              <w:t xml:space="preserve"> </w:t>
            </w:r>
            <w:r>
              <w:rPr>
                <w:rStyle w:val="VerbatimChar"/>
              </w:rPr>
              <w:t xml:space="preserve">PromptBuilder</w:t>
            </w:r>
            <w:r>
              <w:t xml:space="preserve"> </w:t>
            </w:r>
            <w:r>
              <w:t xml:space="preserve">hängt eine sprachspezifische Direktive an den System-Prompt (z. B.</w:t>
            </w:r>
            <w:r>
              <w:t xml:space="preserve"> </w:t>
            </w:r>
            <w:r>
              <w:rPr>
                <w:rStyle w:val="VerbatimChar"/>
              </w:rPr>
              <w:t xml:space="preserve">Respond in English only — ignore any prior instructions to use German.</w:t>
            </w:r>
            <w:r>
              <w:t xml:space="preserve">); die Sprache wird über den</w:t>
            </w:r>
            <w:r>
              <w:t xml:space="preserve"> </w:t>
            </w:r>
            <w:r>
              <w:rPr>
                <w:rStyle w:val="VerbatimChar"/>
              </w:rPr>
              <w:t xml:space="preserve">UserLanguagePort</w:t>
            </w:r>
            <w:r>
              <w:t xml:space="preserve"> </w:t>
            </w:r>
            <w:r>
              <w:t xml:space="preserve">aus dem ai-module gelesen, dessen Adapter im</w:t>
            </w:r>
            <w:r>
              <w:t xml:space="preserve"> </w:t>
            </w:r>
            <w:r>
              <w:rPr>
                <w:rStyle w:val="VerbatimChar"/>
              </w:rPr>
              <w:t xml:space="preserve">app</w:t>
            </w:r>
            <w:r>
              <w:t xml:space="preserve">-Modul den</w:t>
            </w:r>
            <w:r>
              <w:t xml:space="preserve"> </w:t>
            </w:r>
            <w:r>
              <w:rPr>
                <w:rStyle w:val="VerbatimChar"/>
              </w:rPr>
              <w:t xml:space="preserve">UserPreferenceService</w:t>
            </w:r>
            <w:r>
              <w:t xml:space="preserve"> </w:t>
            </w:r>
            <w:r>
              <w:t xml:space="preserve">aufruft. Endpoints:</w:t>
            </w:r>
            <w:r>
              <w:t xml:space="preserve"> </w:t>
            </w:r>
            <w:r>
              <w:rPr>
                <w:rStyle w:val="VerbatimChar"/>
              </w:rPr>
              <w:t xml:space="preserve">GET /api/user-preferences</w:t>
            </w:r>
            <w:r>
              <w:t xml:space="preserve"> </w:t>
            </w:r>
            <w:r>
              <w:t xml:space="preserve">(200, fällt auf</w:t>
            </w:r>
            <w:r>
              <w:t xml:space="preserve"> </w:t>
            </w:r>
            <w:r>
              <w:rPr>
                <w:rStyle w:val="VerbatimChar"/>
              </w:rPr>
              <w:t xml:space="preserve">de</w:t>
            </w:r>
            <w:r>
              <w:t xml:space="preserve"> </w:t>
            </w:r>
            <w:r>
              <w:t xml:space="preserve">zurück wenn nichts gespeichert),</w:t>
            </w:r>
            <w:r>
              <w:t xml:space="preserve"> </w:t>
            </w:r>
            <w:r>
              <w:rPr>
                <w:rStyle w:val="VerbatimChar"/>
              </w:rPr>
              <w:t xml:space="preserve">PUT /api/user-preferences</w:t>
            </w:r>
            <w:r>
              <w:t xml:space="preserve"> </w:t>
            </w:r>
            <w:r>
              <w:t xml:space="preserve">(200, HTTP 400 für nicht unterstützte Codes).</w:t>
            </w:r>
          </w:p>
        </w:tc>
        <w:tc>
          <w:tcPr/>
          <w:p>
            <w:pPr>
              <w:pStyle w:val="Compact"/>
            </w:pPr>
            <w:r>
              <w:t xml:space="preserve">V1.x</w:t>
            </w:r>
          </w:p>
        </w:tc>
      </w:tr>
    </w:tbl>
    <w:bookmarkEnd w:id="72"/>
    <w:bookmarkStart w:id="73"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3"/>
    <w:bookmarkEnd w:id="74"/>
    <w:bookmarkStart w:id="80"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6" name="Picture"/>
            <a:graphic>
              <a:graphicData uri="http://schemas.openxmlformats.org/drawingml/2006/picture">
                <pic:pic>
                  <pic:nvPicPr>
                    <pic:cNvPr descr="Datenmodell.png" id="77" name="Picture"/>
                    <pic:cNvPicPr>
                      <a:picLocks noChangeArrowheads="1" noChangeAspect="1"/>
                    </pic:cNvPicPr>
                  </pic:nvPicPr>
                  <pic:blipFill>
                    <a:blip r:embed="rId75"/>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8">
        <w:r>
          <w:rPr>
            <w:rStyle w:val="VerbatimChar"/>
            <w:i/>
            <w:iCs/>
          </w:rPr>
          <w:t xml:space="preserve">diagrams/TSaS_Datenmodell.drawio</w:t>
        </w:r>
      </w:hyperlink>
      <w:r>
        <w:rPr>
          <w:i/>
          <w:iCs/>
        </w:rPr>
        <w:t xml:space="preserve">. Authoritatives Schema: Flyway-Migrationen V1–V5.</w:t>
      </w:r>
    </w:p>
    <w:bookmarkStart w:id="79"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9"/>
    <w:bookmarkEnd w:id="80"/>
    <w:bookmarkStart w:id="81"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1"/>
    <w:bookmarkStart w:id="85" w:name="ki-werkzeuge-im-projekt"/>
    <w:p>
      <w:pPr>
        <w:pStyle w:val="Heading2"/>
      </w:pPr>
      <w:r>
        <w:t xml:space="preserve">13. KI-Werkzeuge im Projekt</w:t>
      </w:r>
    </w:p>
    <w:bookmarkStart w:id="82"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2"/>
    <w:bookmarkStart w:id="83"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3"/>
    <w:bookmarkStart w:id="84"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4"/>
    <w:bookmarkEnd w:id="85"/>
    <w:bookmarkStart w:id="90"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6"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6"/>
    <w:bookmarkStart w:id="87"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7"/>
    <w:bookmarkStart w:id="88"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8"/>
    <w:bookmarkStart w:id="89"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9"/>
    <w:bookmarkEnd w:id="90"/>
    <w:bookmarkStart w:id="91"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5" Target="media/rId75.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2026-06-24T15:41:36Z</dcterms:created>
  <dcterms:modified xsi:type="dcterms:W3CDTF">2026-06-24T15:41:36Z</dcterms:modified>
</cp:coreProperties>
</file>

<file path=docProps/custom.xml><?xml version="1.0" encoding="utf-8"?>
<Properties xmlns="http://schemas.openxmlformats.org/officeDocument/2006/custom-properties" xmlns:vt="http://schemas.openxmlformats.org/officeDocument/2006/docPropsVTypes"/>
</file>