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5.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2"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Xe08da67790b03b2d6c3339f68b193417a43570a"/>
    <w:p>
      <w:pPr>
        <w:pStyle w:val="Heading3"/>
      </w:pPr>
      <w:r>
        <w:t xml:space="preserve">7.1.4 TLS &amp; Secret-Hygiene im Prod-Overlay (TEN-58 / STRIDE T1+S3+S4+I3+D6)</w:t>
      </w:r>
    </w:p>
    <w:p>
      <w:pPr>
        <w:pStyle w:val="FirstParagraph"/>
      </w:pPr>
      <w:r>
        <w:t xml:space="preserve">Der Basis-Compose-File (</w:t>
      </w:r>
      <w:r>
        <w:rPr>
          <w:rStyle w:val="VerbatimChar"/>
        </w:rPr>
        <w:t xml:space="preserve">docker/compose.yml</w:t>
      </w:r>
      <w:r>
        <w:t xml:space="preserve">) ist auf bequemen Dev-Betrieb getrimmt — Default-Credentials (</w:t>
      </w:r>
      <w:r>
        <w:rPr>
          <w:rStyle w:val="VerbatimChar"/>
        </w:rPr>
        <w:t xml:space="preserve">tsas/tsas</w:t>
      </w:r>
      <w:r>
        <w:t xml:space="preserve">,</w:t>
      </w:r>
      <w:r>
        <w:t xml:space="preserve"> </w:t>
      </w:r>
      <w:r>
        <w:rPr>
          <w:rStyle w:val="VerbatimChar"/>
        </w:rPr>
        <w:t xml:space="preserve">admin/admin</w:t>
      </w:r>
      <w:r>
        <w:t xml:space="preserve">), Mailhog statt echtem SMTP, Keycloak im</w:t>
      </w:r>
      <w:r>
        <w:t xml:space="preserve"> </w:t>
      </w:r>
      <w:r>
        <w:rPr>
          <w:rStyle w:val="VerbatimChar"/>
        </w:rPr>
        <w:t xml:space="preserve">start-dev</w:t>
      </w:r>
      <w:r>
        <w:t xml:space="preserve">-Modus mit H2-Volume, nginx auf HTTP. Für produktionsnahe Auslieferung gibt es einen zusätzlichen Overlay</w:t>
      </w:r>
      <w:r>
        <w:t xml:space="preserve"> </w:t>
      </w:r>
      <w:r>
        <w:rPr>
          <w:rStyle w:val="VerbatimChar"/>
        </w:rPr>
        <w:t xml:space="preserve">docker/compose.prod.yml</w:t>
      </w:r>
      <w:r>
        <w:t xml:space="preserve">, der den Basis-Stack so überschreibt, dass die STRIDE-Befunde T1, S3, S4, I3 und D6 mitigiert sind: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 (</w:t>
            </w:r>
            <w:r>
              <w:rPr>
                <w:rStyle w:val="VerbatimChar"/>
                <w:b/>
                <w:bCs/>
              </w:rPr>
              <w:t xml:space="preserve">docker/frontend/nginx.prod.conf</w:t>
            </w:r>
            <w:r>
              <w:rPr>
                <w:b/>
                <w:bCs/>
              </w:rPr>
              <w:t xml:space="preserve">)</w:t>
            </w:r>
          </w:p>
        </w:tc>
        <w:tc>
          <w:tcPr/>
          <w:p>
            <w:pPr>
              <w:pStyle w:val="Compact"/>
            </w:pPr>
            <w:r>
              <w:t xml:space="preserve">TLS-Terminierung auf Container-Port 8443 (Host 443); Container-Port 8080 (Host 80) liefert nur HTTP-301-Redirects auf HTTPS. Cert-Mount via</w:t>
            </w:r>
            <w:r>
              <w:t xml:space="preserve"> </w:t>
            </w:r>
            <w:r>
              <w:rPr>
                <w:rStyle w:val="VerbatimChar"/>
              </w:rPr>
              <w:t xml:space="preserve">${TLS_CERT_DIR}/tls.{crt,key}</w:t>
            </w:r>
            <w:r>
              <w:t xml:space="preserve">. Bestehende Security-Header (HSTS, CSP, …) bleiben aktiv.</w:t>
            </w:r>
          </w:p>
        </w:tc>
      </w:tr>
      <w:tr>
        <w:tc>
          <w:tcPr/>
          <w:p>
            <w:pPr>
              <w:pStyle w:val="Compact"/>
            </w:pPr>
            <w:r>
              <w:rPr>
                <w:b/>
                <w:bCs/>
              </w:rPr>
              <w:t xml:space="preserve">Keycloak</w:t>
            </w:r>
          </w:p>
        </w:tc>
        <w:tc>
          <w:tcPr/>
          <w:p>
            <w:pPr>
              <w:pStyle w:val="Compact"/>
            </w:pPr>
            <w:r>
              <w:rPr>
                <w:rStyle w:val="VerbatimChar"/>
              </w:rPr>
              <w:t xml:space="preserve">start --hostname=${KC_HOSTNAME} --proxy-headers=xforwarded --db=postgres --db-url-host=db --db-url-database=${KC_DB_NAME}</w:t>
            </w:r>
            <w:r>
              <w:t xml:space="preserve"> </w:t>
            </w:r>
            <w:r>
              <w:t xml:space="preserve">— Produktionsmodus mit eigener Postgres-DB statt H2; Bootstrap-Admin via</w:t>
            </w:r>
            <w:r>
              <w:t xml:space="preserve"> </w:t>
            </w:r>
            <w:r>
              <w:rPr>
                <w:rStyle w:val="VerbatimChar"/>
              </w:rPr>
              <w:t xml:space="preserve">KC_BOOTSTRAP_ADMIN_USERNAME/PASSWORD</w:t>
            </w:r>
            <w:r>
              <w:t xml:space="preserve">, keine Defaults.</w:t>
            </w:r>
          </w:p>
        </w:tc>
      </w:tr>
      <w:tr>
        <w:tc>
          <w:tcPr/>
          <w:p>
            <w:pPr>
              <w:pStyle w:val="Compact"/>
            </w:pPr>
            <w:r>
              <w:rPr>
                <w:b/>
                <w:bCs/>
              </w:rPr>
              <w:t xml:space="preserve">Postgres</w:t>
            </w:r>
          </w:p>
        </w:tc>
        <w:tc>
          <w:tcPr/>
          <w:p>
            <w:pPr>
              <w:pStyle w:val="Compact"/>
            </w:pPr>
            <w:r>
              <w:rPr>
                <w:rStyle w:val="VerbatimChar"/>
              </w:rPr>
              <w:t xml:space="preserve">${DB_PASSWORD:?…}</w:t>
            </w:r>
            <w:r>
              <w:t xml:space="preserve">-Syntax bricht den Start ab, wenn kein Passwort gesetzt ist. Init-Script</w:t>
            </w:r>
            <w:r>
              <w:t xml:space="preserve"> </w:t>
            </w:r>
            <w:r>
              <w:rPr>
                <w:rStyle w:val="VerbatimChar"/>
              </w:rPr>
              <w:t xml:space="preserve">docker/db/init/01-create-keycloak-db.sh</w:t>
            </w:r>
            <w:r>
              <w:t xml:space="preserve"> </w:t>
            </w:r>
            <w:r>
              <w:t xml:space="preserve">legt die Keycloak-DB + den dedizierten Keycloak-DB-User beim ersten Boot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alle required (</w:t>
            </w:r>
            <w:r>
              <w:rPr>
                <w:rStyle w:val="VerbatimChar"/>
              </w:rPr>
              <w:t xml:space="preserve">${VAR:?…}</w:t>
            </w:r>
            <w:r>
              <w:t xml:space="preserve">); kein Host-Port — Zugriff nur über den nginx-Reverse-Proxy.</w:t>
            </w:r>
          </w:p>
        </w:tc>
      </w:tr>
      <w:tr>
        <w:tc>
          <w:tcPr/>
          <w:p>
            <w:pPr>
              <w:pStyle w:val="Compact"/>
            </w:pPr>
            <w:r>
              <w:rPr>
                <w:b/>
                <w:bCs/>
              </w:rPr>
              <w:t xml:space="preserve">Mailhog</w:t>
            </w:r>
          </w:p>
        </w:tc>
        <w:tc>
          <w:tcPr/>
          <w:p>
            <w:pPr>
              <w:pStyle w:val="Compact"/>
            </w:pPr>
            <w:r>
              <w:t xml:space="preserve">Entfernt (</w:t>
            </w:r>
            <w:r>
              <w:rPr>
                <w:rStyle w:val="VerbatimChar"/>
              </w:rPr>
              <w:t xml:space="preserve">!reset null</w:t>
            </w:r>
            <w:r>
              <w:t xml:space="preserve">) — Prod nutzt echtes SMTP (Sendgrid, SES, …) via</w:t>
            </w:r>
            <w:r>
              <w:t xml:space="preserve"> </w:t>
            </w:r>
            <w:r>
              <w:rPr>
                <w:rStyle w:val="VerbatimChar"/>
              </w:rPr>
              <w:t xml:space="preserve">KC_SMTP_*</w:t>
            </w:r>
            <w:r>
              <w:t xml:space="preserve">-Env-Vars.</w:t>
            </w:r>
          </w:p>
        </w:tc>
      </w:tr>
    </w:tbl>
    <w:p>
      <w:pPr>
        <w:pStyle w:val="BodyText"/>
      </w:pPr>
      <w:r>
        <w:t xml:space="preserve">Aktivierung:</w:t>
      </w:r>
      <w:r>
        <w:t xml:space="preserve"> </w:t>
      </w:r>
      <w:r>
        <w:rPr>
          <w:rStyle w:val="VerbatimChar"/>
        </w:rPr>
        <w:t xml:space="preserve">podman compose -f docker/compose.yml -f docker/compose.prod.yml up -d --build</w:t>
      </w:r>
      <w:r>
        <w:t xml:space="preserve">. Eine</w:t>
      </w:r>
      <w:r>
        <w:t xml:space="preserve"> </w:t>
      </w:r>
      <w:r>
        <w:rPr>
          <w:rStyle w:val="VerbatimChar"/>
        </w:rPr>
        <w:t xml:space="preserve">.env</w:t>
      </w:r>
      <w:r>
        <w:t xml:space="preserve">-Datei neben</w:t>
      </w:r>
      <w:r>
        <w:t xml:space="preserve"> </w:t>
      </w:r>
      <w:r>
        <w:rPr>
          <w:rStyle w:val="VerbatimChar"/>
        </w:rPr>
        <w:t xml:space="preserve">compose.yml</w:t>
      </w:r>
      <w:r>
        <w:t xml:space="preserve"> </w:t>
      </w:r>
      <w:r>
        <w:t xml:space="preserve">liefert die echten Werte; Vorlage in</w:t>
      </w:r>
      <w:r>
        <w:t xml:space="preserve"> </w:t>
      </w:r>
      <w:r>
        <w:rPr>
          <w:rStyle w:val="VerbatimChar"/>
        </w:rPr>
        <w:t xml:space="preserve">docker/.env.prod.example</w:t>
      </w:r>
      <w:r>
        <w:t xml:space="preserve">. Die Cert-Provisionierung (Let’s Encrypt o. ä.) liegt ausserhalb des Overlays — er erwartet nur, dass</w:t>
      </w:r>
      <w:r>
        <w:t xml:space="preserve"> </w:t>
      </w:r>
      <w:r>
        <w:rPr>
          <w:rStyle w:val="VerbatimChar"/>
        </w:rPr>
        <w:t xml:space="preserve">${TLS_CERT_DIR}</w:t>
      </w:r>
      <w:r>
        <w:t xml:space="preserve"> </w:t>
      </w:r>
      <w:r>
        <w:t xml:space="preserve">existiert und</w:t>
      </w:r>
      <w:r>
        <w:t xml:space="preserve"> </w:t>
      </w:r>
      <w:r>
        <w:rPr>
          <w:rStyle w:val="VerbatimChar"/>
        </w:rPr>
        <w:t xml:space="preserve">tls.crt</w:t>
      </w:r>
      <w:r>
        <w:t xml:space="preserve">/</w:t>
      </w:r>
      <w:r>
        <w:rPr>
          <w:rStyle w:val="VerbatimChar"/>
        </w:rPr>
        <w:t xml:space="preserve">tls.key</w:t>
      </w:r>
      <w:r>
        <w:t xml:space="preserve"> </w:t>
      </w:r>
      <w:r>
        <w:t xml:space="preserve">enthält. Verifiziert via</w:t>
      </w:r>
      <w:r>
        <w:t xml:space="preserve"> </w:t>
      </w:r>
      <w:r>
        <w:rPr>
          <w:rStyle w:val="VerbatimChar"/>
        </w:rPr>
        <w:t xml:space="preserve">podman compose … config</w:t>
      </w:r>
      <w:r>
        <w:t xml:space="preserve"> </w:t>
      </w:r>
      <w:r>
        <w:t xml:space="preserve">(Syntax-Check) und exemplarischen</w:t>
      </w:r>
      <w:r>
        <w:t xml:space="preserve"> </w:t>
      </w:r>
      <w:r>
        <w:rPr>
          <w:rStyle w:val="VerbatimChar"/>
        </w:rPr>
        <w:t xml:space="preserve">openssl s_client</w:t>
      </w:r>
      <w:r>
        <w:t xml:space="preserve">-/</w:t>
      </w:r>
      <w:r>
        <w:rPr>
          <w:rStyle w:val="VerbatimChar"/>
        </w:rPr>
        <w:t xml:space="preserve">curl -I</w:t>
      </w:r>
      <w:r>
        <w:t xml:space="preserve">-Smoke-Tests (siehe README).</w:t>
      </w:r>
    </w:p>
    <w:bookmarkEnd w:id="60"/>
    <w:bookmarkStart w:id="61"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1"/>
    <w:bookmarkEnd w:id="62"/>
    <w:bookmarkStart w:id="70" w:name="querschnittliche-konzepte"/>
    <w:p>
      <w:pPr>
        <w:pStyle w:val="Heading2"/>
      </w:pPr>
      <w:r>
        <w:t xml:space="preserve">8. Querschnittliche Konzepte</w:t>
      </w:r>
    </w:p>
    <w:bookmarkStart w:id="6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Test-Profil-Guard (TEN-57 / STRIDE E2).</w:t>
      </w:r>
      <w:r>
        <w:t xml:space="preserve"> </w:t>
      </w:r>
      <w:r>
        <w:t xml:space="preserve">Das</w:t>
      </w:r>
      <w:r>
        <w:t xml:space="preserve"> </w:t>
      </w:r>
      <w:r>
        <w:rPr>
          <w:rStyle w:val="VerbatimChar"/>
        </w:rPr>
        <w:t xml:space="preserve">test</w:t>
      </w:r>
      <w:r>
        <w:t xml:space="preserve">-Profil aktiviert einen</w:t>
      </w:r>
      <w:r>
        <w:t xml:space="preserve"> </w:t>
      </w:r>
      <w:r>
        <w:rPr>
          <w:rStyle w:val="VerbatimChar"/>
        </w:rPr>
        <w:t xml:space="preserve">permitAll</w:t>
      </w:r>
      <w:r>
        <w:t xml:space="preserve">-</w:t>
      </w:r>
      <w:r>
        <w:rPr>
          <w:rStyle w:val="VerbatimChar"/>
        </w:rPr>
        <w:t xml:space="preserve">SecurityFilterChain</w:t>
      </w:r>
      <w:r>
        <w:t xml:space="preserve"> </w:t>
      </w:r>
      <w:r>
        <w:t xml:space="preserve">für Integrationstests. Damit dieser niemals in einer produktiven Laufzeit auftaucht, lebt der zugehörige Bean</w:t>
      </w:r>
      <w:r>
        <w:t xml:space="preserve"> </w:t>
      </w:r>
      <w:r>
        <w:rPr>
          <w:rStyle w:val="VerbatimChar"/>
        </w:rPr>
        <w:t xml:space="preserve">TestProfileSecurityConfig</w:t>
      </w:r>
      <w:r>
        <w:t xml:space="preserve"> </w:t>
      </w:r>
      <w:r>
        <w:t xml:space="preserve">ausschliesslich in</w:t>
      </w:r>
      <w:r>
        <w:t xml:space="preserve"> </w:t>
      </w:r>
      <w:r>
        <w:rPr>
          <w:rStyle w:val="VerbatimChar"/>
        </w:rPr>
        <w:t xml:space="preserve">auth-module/src/testFixtures/</w:t>
      </w:r>
      <w:r>
        <w:t xml:space="preserve"> </w:t>
      </w:r>
      <w:r>
        <w:t xml:space="preserve">(wird nicht in das Boot-Jar gepackt, sondern via</w:t>
      </w:r>
      <w:r>
        <w:t xml:space="preserve"> </w:t>
      </w:r>
      <w:r>
        <w:rPr>
          <w:rStyle w:val="VerbatimChar"/>
        </w:rPr>
        <w:t xml:space="preserve">testImplementation(testFixtures(":auth-module"))</w:t>
      </w:r>
      <w:r>
        <w:t xml:space="preserve"> </w:t>
      </w:r>
      <w:r>
        <w:t xml:space="preserve">an Tests bereitgestellt). Zusätzlich greift</w:t>
      </w:r>
      <w:r>
        <w:t xml:space="preserve"> </w:t>
      </w:r>
      <w:r>
        <w:rPr>
          <w:rStyle w:val="VerbatimChar"/>
        </w:rPr>
        <w:t xml:space="preserve">TestProfileGuard</w:t>
      </w:r>
      <w:r>
        <w:t xml:space="preserve"> </w:t>
      </w:r>
      <w:r>
        <w:t xml:space="preserve">als</w:t>
      </w:r>
      <w:r>
        <w:t xml:space="preserve"> </w:t>
      </w:r>
      <w:r>
        <w:rPr>
          <w:rStyle w:val="VerbatimChar"/>
        </w:rPr>
        <w:t xml:space="preserve">EnvironmentPostProcessor</w:t>
      </w:r>
      <w:r>
        <w:t xml:space="preserve"> </w:t>
      </w:r>
      <w:r>
        <w:t xml:space="preserve">(registriert über</w:t>
      </w:r>
      <w:r>
        <w:t xml:space="preserve"> </w:t>
      </w:r>
      <w:r>
        <w:rPr>
          <w:rStyle w:val="VerbatimChar"/>
        </w:rPr>
        <w:t xml:space="preserve">META-INF/spring/org.springframework.boot.env.EnvironmentPostProcessor.imports</w:t>
      </w:r>
      <w:r>
        <w:t xml:space="preserve">) und bricht den Boot mit einer</w:t>
      </w:r>
      <w:r>
        <w:t xml:space="preserve"> </w:t>
      </w:r>
      <w:r>
        <w:rPr>
          <w:rStyle w:val="VerbatimChar"/>
        </w:rPr>
        <w:t xml:space="preserve">IllegalStateException</w:t>
      </w:r>
      <w:r>
        <w:t xml:space="preserve"> </w:t>
      </w:r>
      <w:r>
        <w:t xml:space="preserve">ab, sobald das</w:t>
      </w:r>
      <w:r>
        <w:t xml:space="preserve"> </w:t>
      </w:r>
      <w:r>
        <w:rPr>
          <w:rStyle w:val="VerbatimChar"/>
        </w:rPr>
        <w:t xml:space="preserve">test</w:t>
      </w:r>
      <w:r>
        <w:t xml:space="preserve">-Profil entweder (a) zusammen mit</w:t>
      </w:r>
      <w:r>
        <w:t xml:space="preserve"> </w:t>
      </w:r>
      <w:r>
        <w:rPr>
          <w:rStyle w:val="VerbatimChar"/>
        </w:rPr>
        <w:t xml:space="preserve">prod</w:t>
      </w:r>
      <w:r>
        <w:t xml:space="preserve">/</w:t>
      </w:r>
      <w:r>
        <w:rPr>
          <w:rStyle w:val="VerbatimChar"/>
        </w:rPr>
        <w:t xml:space="preserve">production</w:t>
      </w:r>
      <w:r>
        <w:t xml:space="preserve">/</w:t>
      </w:r>
      <w:r>
        <w:rPr>
          <w:rStyle w:val="VerbatimChar"/>
        </w:rPr>
        <w:t xml:space="preserve">docker</w:t>
      </w:r>
      <w:r>
        <w:t xml:space="preserve"> </w:t>
      </w:r>
      <w:r>
        <w:t xml:space="preserve">aktiv ist oder (b)</w:t>
      </w:r>
      <w:r>
        <w:t xml:space="preserve"> </w:t>
      </w:r>
      <w:r>
        <w:rPr>
          <w:rStyle w:val="VerbatimChar"/>
        </w:rPr>
        <w:t xml:space="preserve">spring.datasource.url</w:t>
      </w:r>
      <w:r>
        <w:t xml:space="preserve"> </w:t>
      </w:r>
      <w:r>
        <w:t xml:space="preserve">nicht auf eine In-Memory-H2-URL zeigt. Acht Unit-Tests decken alle erlaubten und verbotenen Kombinationen ab. Beim aktiven</w:t>
      </w:r>
      <w:r>
        <w:t xml:space="preserve"> </w:t>
      </w:r>
      <w:r>
        <w:rPr>
          <w:rStyle w:val="VerbatimChar"/>
        </w:rPr>
        <w:t xml:space="preserve">permitAll</w:t>
      </w:r>
      <w:r>
        <w:t xml:space="preserve">-Bean loggt eine</w:t>
      </w:r>
      <w:r>
        <w:t xml:space="preserve"> </w:t>
      </w:r>
      <w:r>
        <w:rPr>
          <w:rStyle w:val="VerbatimChar"/>
        </w:rPr>
        <w:t xml:space="preserve">@PostConstruct</w:t>
      </w:r>
      <w:r>
        <w:t xml:space="preserve">-Hook eine deutliche Warnung in den Startup-Output.</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3"/>
    <w:bookmarkStart w:id="6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4"/>
    <w:bookmarkStart w:id="65"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w:t>
      </w:r>
      <w:r>
        <w:t xml:space="preserve"> </w:t>
      </w:r>
      <w:r>
        <w:rPr>
          <w:rStyle w:val="VerbatimChar"/>
        </w:rPr>
        <w:t xml:space="preserve">@Order(LOWEST_PRECEDENCE)</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rPr>
          <w:b/>
          <w:bCs/>
        </w:rPr>
        <w:t xml:space="preserve">Catch-all + Sanitization (TEN-61 / STRIDE I5+I6).</w:t>
      </w:r>
      <w:r>
        <w:t xml:space="preserve"> </w:t>
      </w:r>
      <w:r>
        <w:t xml:space="preserve">Der</w:t>
      </w:r>
      <w:r>
        <w:t xml:space="preserve"> </w:t>
      </w:r>
      <w:r>
        <w:rPr>
          <w:rStyle w:val="VerbatimChar"/>
        </w:rPr>
        <w:t xml:space="preserve">CommonExceptionHandler</w:t>
      </w:r>
      <w:r>
        <w:t xml:space="preserve"> </w:t>
      </w:r>
      <w:r>
        <w:t xml:space="preserve">fängt zusätzlich vier breite Klassen ab und sorgt dafür, dass keine internen Details (Klassenpfade, SQL-Schnipsel, Stack-Traces) in die Antwort lecken: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Exception</w:t>
            </w:r>
          </w:p>
        </w:tc>
        <w:tc>
          <w:tcPr/>
          <w:p>
            <w:pPr>
              <w:pStyle w:val="Compact"/>
            </w:pPr>
            <w:r>
              <w:t xml:space="preserve">Status</w:t>
            </w:r>
          </w:p>
        </w:tc>
        <w:tc>
          <w:tcPr/>
          <w:p>
            <w:pPr>
              <w:pStyle w:val="Compact"/>
            </w:pPr>
            <w:r>
              <w:t xml:space="preserve">Detail in der Response</w:t>
            </w:r>
          </w:p>
        </w:tc>
      </w:tr>
      <w:tr>
        <w:tc>
          <w:tcPr/>
          <w:p>
            <w:pPr>
              <w:pStyle w:val="Compact"/>
            </w:pPr>
            <w:r>
              <w:rPr>
                <w:rStyle w:val="VerbatimChar"/>
              </w:rPr>
              <w:t xml:space="preserve">ResponseStatusException</w:t>
            </w:r>
          </w:p>
        </w:tc>
        <w:tc>
          <w:tcPr/>
          <w:p>
            <w:pPr>
              <w:pStyle w:val="Compact"/>
            </w:pPr>
            <w:r>
              <w:t xml:space="preserve">aus der Exception</w:t>
            </w:r>
          </w:p>
        </w:tc>
        <w:tc>
          <w:tcPr/>
          <w:p>
            <w:pPr>
              <w:pStyle w:val="Compact"/>
            </w:pPr>
            <w:r>
              <w:t xml:space="preserve">Reason (falls gesetzt) oder Standard-Phrase</w:t>
            </w:r>
          </w:p>
        </w:tc>
      </w:tr>
      <w:tr>
        <w:tc>
          <w:tcPr/>
          <w:p>
            <w:pPr>
              <w:pStyle w:val="Compact"/>
            </w:pPr>
            <w:r>
              <w:rPr>
                <w:rStyle w:val="VerbatimChar"/>
              </w:rPr>
              <w:t xml:space="preserve">DataIntegrityViolationException</w:t>
            </w:r>
          </w:p>
        </w:tc>
        <w:tc>
          <w:tcPr/>
          <w:p>
            <w:pPr>
              <w:pStyle w:val="Compact"/>
            </w:pPr>
            <w:r>
              <w:t xml:space="preserve">409</w:t>
            </w:r>
          </w:p>
        </w:tc>
        <w:tc>
          <w:tcPr/>
          <w:p>
            <w:pPr>
              <w:pStyle w:val="Compact"/>
            </w:pPr>
            <w:r>
              <w:t xml:space="preserve">Generisch („Datenkonflikt: eine Datenbank-Constraint wurde verletzt …“); Original-SQL/Schema wird intern via WARN geloggt</w:t>
            </w:r>
          </w:p>
        </w:tc>
      </w:tr>
      <w:tr>
        <w:tc>
          <w:tcPr/>
          <w:p>
            <w:pPr>
              <w:pStyle w:val="Compact"/>
            </w:pPr>
            <w:r>
              <w:rPr>
                <w:rStyle w:val="VerbatimChar"/>
              </w:rPr>
              <w:t xml:space="preserve">AccessDeniedException</w:t>
            </w:r>
          </w:p>
        </w:tc>
        <w:tc>
          <w:tcPr/>
          <w:p>
            <w:pPr>
              <w:pStyle w:val="Compact"/>
            </w:pPr>
            <w:r>
              <w:t xml:space="preserve">403</w:t>
            </w:r>
          </w:p>
        </w:tc>
        <w:tc>
          <w:tcPr/>
          <w:p>
            <w:pPr>
              <w:pStyle w:val="Compact"/>
            </w:pPr>
            <w:r>
              <w:t xml:space="preserve">„Zugriff verweigert.” (Original-Message nicht durchgereicht)</w:t>
            </w:r>
          </w:p>
        </w:tc>
      </w:tr>
      <w:tr>
        <w:tc>
          <w:tcPr/>
          <w:p>
            <w:pPr>
              <w:pStyle w:val="Compact"/>
            </w:pPr>
            <w:r>
              <w:rPr>
                <w:rStyle w:val="VerbatimChar"/>
              </w:rPr>
              <w:t xml:space="preserve">Exception</w:t>
            </w:r>
            <w:r>
              <w:t xml:space="preserve"> </w:t>
            </w:r>
            <w:r>
              <w:t xml:space="preserve">(Catch-all)</w:t>
            </w:r>
          </w:p>
        </w:tc>
        <w:tc>
          <w:tcPr/>
          <w:p>
            <w:pPr>
              <w:pStyle w:val="Compact"/>
            </w:pPr>
            <w:r>
              <w:t xml:space="preserve">500</w:t>
            </w:r>
          </w:p>
        </w:tc>
        <w:tc>
          <w:tcPr/>
          <w:p>
            <w:pPr>
              <w:pStyle w:val="Compact"/>
            </w:pPr>
            <w:r>
              <w:t xml:space="preserve">„Ein interner Fehler ist aufgetreten. …“; Original mit vollem Stack-Trace via ERROR geloggt</w:t>
            </w:r>
          </w:p>
        </w:tc>
      </w:tr>
    </w:tbl>
    <w:p>
      <w:pPr>
        <w:pStyle w:val="BodyText"/>
      </w:pPr>
      <w:r>
        <w:t xml:space="preserve">Ergänzend setzen die</w:t>
      </w:r>
      <w:r>
        <w:t xml:space="preserve"> </w:t>
      </w:r>
      <w:r>
        <w:rPr>
          <w:rStyle w:val="VerbatimChar"/>
        </w:rPr>
        <w:t xml:space="preserve">server.error.include-*: never</w:t>
      </w:r>
      <w:r>
        <w:t xml:space="preserve">/</w:t>
      </w:r>
      <w:r>
        <w:rPr>
          <w:rStyle w:val="VerbatimChar"/>
        </w:rPr>
        <w:t xml:space="preserve">false</w:t>
      </w:r>
      <w:r>
        <w:t xml:space="preserve">-Properties in</w:t>
      </w:r>
      <w:r>
        <w:t xml:space="preserve"> </w:t>
      </w:r>
      <w:r>
        <w:rPr>
          <w:rStyle w:val="VerbatimChar"/>
        </w:rPr>
        <w:t xml:space="preserve">application.yml</w:t>
      </w:r>
      <w:r>
        <w:t xml:space="preserve"> </w:t>
      </w:r>
      <w:r>
        <w:t xml:space="preserve">Springs Whitelabel-Fallback auf still — falls das Catch-all je umgangen wird, bleibt die Response trotzdem sanitisiert. Unit-Tests in</w:t>
      </w:r>
      <w:r>
        <w:t xml:space="preserve"> </w:t>
      </w:r>
      <w:r>
        <w:rPr>
          <w:rStyle w:val="VerbatimChar"/>
        </w:rPr>
        <w:t xml:space="preserve">CommonExceptionHandlerTest</w:t>
      </w:r>
      <w:r>
        <w:t xml:space="preserve"> </w:t>
      </w:r>
      <w:r>
        <w:t xml:space="preserve">(7 Pfade) asserten konkret, dass weder SQL noch UUIDs noch Klassennamen in der</w:t>
      </w:r>
      <w:r>
        <w:t xml:space="preserve"> </w:t>
      </w:r>
      <w:r>
        <w:rPr>
          <w:rStyle w:val="VerbatimChar"/>
        </w:rPr>
        <w:t xml:space="preserve">detail</w:t>
      </w:r>
      <w:r>
        <w:t xml:space="preserve">-Zeile auftauchen.</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5"/>
    <w:bookmarkStart w:id="6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6"/>
    <w:bookmarkStart w:id="67"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7"/>
    <w:bookmarkStart w:id="68"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8"/>
    <w:bookmarkStart w:id="69"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9"/>
    <w:bookmarkEnd w:id="70"/>
    <w:bookmarkStart w:id="71"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1"/>
    <w:bookmarkStart w:id="74" w:name="qualitätsanforderungen"/>
    <w:p>
      <w:pPr>
        <w:pStyle w:val="Heading2"/>
      </w:pPr>
      <w:r>
        <w:t xml:space="preserve">10. Qualitätsanforderungen</w:t>
      </w:r>
    </w:p>
    <w:bookmarkStart w:id="72"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2"/>
    <w:bookmarkStart w:id="73"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3"/>
    <w:bookmarkEnd w:id="74"/>
    <w:bookmarkStart w:id="80"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6" name="Picture"/>
            <a:graphic>
              <a:graphicData uri="http://schemas.openxmlformats.org/drawingml/2006/picture">
                <pic:pic>
                  <pic:nvPicPr>
                    <pic:cNvPr descr="Datenmodell.png" id="77" name="Picture"/>
                    <pic:cNvPicPr>
                      <a:picLocks noChangeArrowheads="1" noChangeAspect="1"/>
                    </pic:cNvPicPr>
                  </pic:nvPicPr>
                  <pic:blipFill>
                    <a:blip r:embed="rId75"/>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8">
        <w:r>
          <w:rPr>
            <w:rStyle w:val="VerbatimChar"/>
            <w:i/>
            <w:iCs/>
          </w:rPr>
          <w:t xml:space="preserve">diagrams/TSaS_Datenmodell.drawio</w:t>
        </w:r>
      </w:hyperlink>
      <w:r>
        <w:rPr>
          <w:i/>
          <w:iCs/>
        </w:rPr>
        <w:t xml:space="preserve">. Authoritatives Schema: Flyway-Migrationen V1–V5.</w:t>
      </w:r>
    </w:p>
    <w:bookmarkStart w:id="79"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9"/>
    <w:bookmarkEnd w:id="80"/>
    <w:bookmarkStart w:id="81"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1"/>
    <w:bookmarkStart w:id="85" w:name="ki-werkzeuge-im-projekt"/>
    <w:p>
      <w:pPr>
        <w:pStyle w:val="Heading2"/>
      </w:pPr>
      <w:r>
        <w:t xml:space="preserve">13. KI-Werkzeuge im Projekt</w:t>
      </w:r>
    </w:p>
    <w:bookmarkStart w:id="82"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2"/>
    <w:bookmarkStart w:id="83"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3"/>
    <w:bookmarkStart w:id="84"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4"/>
    <w:bookmarkEnd w:id="85"/>
    <w:bookmarkStart w:id="90"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6"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6"/>
    <w:bookmarkStart w:id="87"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7"/>
    <w:bookmarkStart w:id="88"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8"/>
    <w:bookmarkStart w:id="89"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9"/>
    <w:bookmarkEnd w:id="90"/>
    <w:bookmarkStart w:id="91"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5" Target="media/rId75.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2026-06-24T14:15:41Z</dcterms:created>
  <dcterms:modified xsi:type="dcterms:W3CDTF">2026-06-24T14:15:41Z</dcterms:modified>
</cp:coreProperties>
</file>

<file path=docProps/custom.xml><?xml version="1.0" encoding="utf-8"?>
<Properties xmlns="http://schemas.openxmlformats.org/officeDocument/2006/custom-properties" xmlns:vt="http://schemas.openxmlformats.org/officeDocument/2006/docPropsVTypes"/>
</file>