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3.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60"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und H2-Volume).</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Xa9d98596bd85000b5876dd6018452ee1243d56d"/>
    <w:p>
      <w:pPr>
        <w:pStyle w:val="Heading3"/>
      </w:pPr>
      <w:r>
        <w:t xml:space="preserve">7.1.2 Security-Header im nginx (TEN-62 / STRIDE T1)</w:t>
      </w:r>
    </w:p>
    <w:p>
      <w:pPr>
        <w:pStyle w:val="FirstParagraph"/>
      </w:pPr>
      <w:r>
        <w:t xml:space="preserve">Der nginx vor der Angular-SPA setzt folgende Security-Header auf jeder Antwort (</w:t>
      </w:r>
      <w:r>
        <w:rPr>
          <w:rStyle w:val="VerbatimChar"/>
        </w:rPr>
        <w:t xml:space="preserve">add_header … always;</w:t>
      </w:r>
      <w:r>
        <w:t xml:space="preserve"> </w:t>
      </w:r>
      <w:r>
        <w:t xml:space="preserve">auf Server-Scope, vererbt durch alle Locations — auch durch die</w:t>
      </w:r>
      <w:r>
        <w:t xml:space="preserve"> </w:t>
      </w:r>
      <w:r>
        <w:rPr>
          <w:rStyle w:val="VerbatimChar"/>
        </w:rPr>
        <w:t xml:space="preserve">/api/</w:t>
      </w:r>
      <w:r>
        <w:t xml:space="preserve">-Proxy-Location und den</w:t>
      </w:r>
      <w:r>
        <w:t xml:space="preserve"> </w:t>
      </w:r>
      <w:r>
        <w:rPr>
          <w:rStyle w:val="VerbatimChar"/>
        </w:rPr>
        <w:t xml:space="preserve">try_files</w:t>
      </w:r>
      <w:r>
        <w:t xml:space="preserve">-Fallback):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für 1 Jahr inkl. Subdomains; greift erst wenn der TLS-Terminator vor nginx aktiv ist (kein Effekt über plain HTTP).</w:t>
            </w:r>
          </w:p>
        </w:tc>
      </w:tr>
      <w:tr>
        <w:tc>
          <w:tcPr/>
          <w:p>
            <w:pPr>
              <w:pStyle w:val="Compact"/>
            </w:pPr>
            <w:r>
              <w:rPr>
                <w:rStyle w:val="VerbatimChar"/>
              </w:rPr>
              <w:t xml:space="preserve">Content-Security-Policy</w:t>
            </w:r>
          </w:p>
        </w:tc>
        <w:tc>
          <w:tcPr/>
          <w:p>
            <w:pPr>
              <w:pStyle w:val="Compact"/>
            </w:pPr>
            <w:r>
              <w:rPr>
                <w:rStyle w:val="VerbatimChar"/>
              </w:rPr>
              <w:t xml:space="preserve">default-src 'self'; script-src 'self'; style-src 'self' 'unsafe-inline'; img-src 'self' data:; font-src 'self' data:; connect-src 'self' https://localhost:8443; frame-src 'self' https://localhost:8443; frame-ancestors 'none'; object-src 'none'; base-uri 'self'; form-action 'self' https://localhost:8443</w:t>
            </w:r>
          </w:p>
        </w:tc>
        <w:tc>
          <w:tcPr/>
          <w:p>
            <w:pPr>
              <w:pStyle w:val="Compact"/>
            </w:pPr>
            <w:r>
              <w:t xml:space="preserve">XSS-Mitigation.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ist nötig für Angular Materials Runtime-Style-Injection (kein SSR/Nonces in dieser Build-Variante).</w:t>
            </w:r>
            <w:r>
              <w:t xml:space="preserve"> </w:t>
            </w:r>
            <w:r>
              <w:rPr>
                <w:rStyle w:val="VerbatimChar"/>
              </w:rPr>
              <w:t xml:space="preserve">connect-src</w:t>
            </w:r>
            <w:r>
              <w:t xml:space="preserve">/</w:t>
            </w:r>
            <w:r>
              <w:rPr>
                <w:rStyle w:val="VerbatimChar"/>
              </w:rPr>
              <w:t xml:space="preserve">form-action</w:t>
            </w:r>
            <w:r>
              <w:t xml:space="preserve"> </w:t>
            </w:r>
            <w:r>
              <w:t xml:space="preserve">enthalten die Keycloak-Realm, damit der OAuth2/PKCE-Flow funktioniert.</w:t>
            </w:r>
            <w:r>
              <w:t xml:space="preserve"> </w:t>
            </w:r>
            <w:r>
              <w:rPr>
                <w:rStyle w:val="VerbatimChar"/>
              </w:rPr>
              <w:t xml:space="preserve">frame-ancestors 'none'</w:t>
            </w:r>
            <w:r>
              <w:t xml:space="preserve"> </w:t>
            </w:r>
            <w:r>
              <w:t xml:space="preserve">blockiert Clickjacking.</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Verhindert MIME-Sniffing. Spring Security setzt diesen Header zusätzlich auf API-Antworten — die Duplikation ist harmlos (identischer Wert).</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Verhindert Referrer-Leakage an Dritte.</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payment=(), usb=(), magnetometer=(), gyroscope=(), accelerometer=(), fullscreen=(self)</w:t>
            </w:r>
          </w:p>
        </w:tc>
        <w:tc>
          <w:tcPr/>
          <w:p>
            <w:pPr>
              <w:pStyle w:val="Compact"/>
            </w:pPr>
            <w:r>
              <w:t xml:space="preserve">Sperrt Browser-APIs, die die SPA nicht braucht — verhindert Eskalation eines XSS in Device-API-Zugriff.</w:t>
            </w:r>
          </w:p>
        </w:tc>
      </w:tr>
    </w:tbl>
    <w:bookmarkEnd w:id="58"/>
    <w:bookmarkStart w:id="59"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59"/>
    <w:bookmarkEnd w:id="60"/>
    <w:bookmarkStart w:id="68" w:name="querschnittliche-konzepte"/>
    <w:p>
      <w:pPr>
        <w:pStyle w:val="Heading2"/>
      </w:pPr>
      <w:r>
        <w:t xml:space="preserve">8. Querschnittliche Konzepte</w:t>
      </w:r>
    </w:p>
    <w:bookmarkStart w:id="61"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bookmarkEnd w:id="61"/>
    <w:bookmarkStart w:id="62"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7"/>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7"/>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7"/>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7"/>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7"/>
        </w:numPr>
      </w:pPr>
      <w:r>
        <w:t xml:space="preserve">Die Migrationsskripte verwenden ausschliesslich ANSI-SQL, das mit PostgreSQL und H2 kompatibel ist (kein datenbankspezifischer SQL-Dialekt), damit auch das lokale H2-Profil Flyway-gesteuert ist.</w:t>
      </w:r>
    </w:p>
    <w:bookmarkEnd w:id="62"/>
    <w:bookmarkStart w:id="63"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3"/>
    <w:bookmarkStart w:id="64"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4"/>
    <w:bookmarkStart w:id="65" w:name="testkonzept"/>
    <w:p>
      <w:pPr>
        <w:pStyle w:val="Heading3"/>
      </w:pPr>
      <w:r>
        <w:t xml:space="preserve">8.5 Testkonzept</w:t>
      </w:r>
    </w:p>
    <w:p>
      <w:pPr>
        <w:pStyle w:val="Compact"/>
        <w:numPr>
          <w:ilvl w:val="0"/>
          <w:numId w:val="1008"/>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08"/>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08"/>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08"/>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5"/>
    <w:bookmarkStart w:id="66"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6"/>
    <w:bookmarkStart w:id="67"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09"/>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09"/>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09"/>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7"/>
    <w:bookmarkEnd w:id="68"/>
    <w:bookmarkStart w:id="69"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69"/>
    <w:bookmarkStart w:id="72" w:name="qualitätsanforderungen"/>
    <w:p>
      <w:pPr>
        <w:pStyle w:val="Heading2"/>
      </w:pPr>
      <w:r>
        <w:t xml:space="preserve">10. Qualitätsanforderungen</w:t>
      </w:r>
    </w:p>
    <w:bookmarkStart w:id="70"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bl>
    <w:bookmarkEnd w:id="70"/>
    <w:bookmarkStart w:id="71"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71"/>
    <w:bookmarkEnd w:id="72"/>
    <w:bookmarkStart w:id="78"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4" name="Picture"/>
            <a:graphic>
              <a:graphicData uri="http://schemas.openxmlformats.org/drawingml/2006/picture">
                <pic:pic>
                  <pic:nvPicPr>
                    <pic:cNvPr descr="Datenmodell.png" id="75" name="Picture"/>
                    <pic:cNvPicPr>
                      <a:picLocks noChangeArrowheads="1" noChangeAspect="1"/>
                    </pic:cNvPicPr>
                  </pic:nvPicPr>
                  <pic:blipFill>
                    <a:blip r:embed="rId73"/>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6">
        <w:r>
          <w:rPr>
            <w:rStyle w:val="VerbatimChar"/>
            <w:i/>
            <w:iCs/>
          </w:rPr>
          <w:t xml:space="preserve">diagrams/TSaS_Datenmodell.drawio</w:t>
        </w:r>
      </w:hyperlink>
      <w:r>
        <w:rPr>
          <w:i/>
          <w:iCs/>
        </w:rPr>
        <w:t xml:space="preserve">. Authoritatives Schema: Flyway-Migrationen V1–V5.</w:t>
      </w:r>
    </w:p>
    <w:bookmarkStart w:id="77"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7"/>
    <w:bookmarkEnd w:id="78"/>
    <w:bookmarkStart w:id="79"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79"/>
    <w:bookmarkStart w:id="83" w:name="ki-werkzeuge-im-projekt"/>
    <w:p>
      <w:pPr>
        <w:pStyle w:val="Heading2"/>
      </w:pPr>
      <w:r>
        <w:t xml:space="preserve">13. KI-Werkzeuge im Projekt</w:t>
      </w:r>
    </w:p>
    <w:bookmarkStart w:id="80"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80"/>
    <w:bookmarkStart w:id="81"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0"/>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0"/>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0"/>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1"/>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2"/>
        </w:numPr>
      </w:pPr>
      <w:r>
        <w:rPr>
          <w:rStyle w:val="VerbatimChar"/>
        </w:rPr>
        <w:t xml:space="preserve">cc6e502 feat(match): typed enums + @Size on RecordPointRequest + IT (TEN-60)</w:t>
      </w:r>
    </w:p>
    <w:p>
      <w:pPr>
        <w:pStyle w:val="Compact"/>
        <w:numPr>
          <w:ilvl w:val="0"/>
          <w:numId w:val="1012"/>
        </w:numPr>
      </w:pPr>
      <w:r>
        <w:rPr>
          <w:rStyle w:val="VerbatimChar"/>
        </w:rPr>
        <w:t xml:space="preserve">d96f4da feat(player): @Size limits on DTO string fields + IT (TEN-60)</w:t>
      </w:r>
    </w:p>
    <w:p>
      <w:pPr>
        <w:pStyle w:val="Compact"/>
        <w:numPr>
          <w:ilvl w:val="0"/>
          <w:numId w:val="1012"/>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1"/>
    <w:bookmarkStart w:id="82"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2"/>
    <w:bookmarkEnd w:id="83"/>
    <w:bookmarkStart w:id="88"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4"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4"/>
    <w:bookmarkStart w:id="85"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3"/>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3"/>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3"/>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5"/>
    <w:bookmarkStart w:id="86"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6"/>
    <w:bookmarkStart w:id="87" w:name="übertrag-auf-die-künftige-arbeitsweise"/>
    <w:p>
      <w:pPr>
        <w:pStyle w:val="Heading3"/>
      </w:pPr>
      <w:r>
        <w:t xml:space="preserve">14.4 Übertrag auf die künftige Arbeitsweise</w:t>
      </w:r>
    </w:p>
    <w:p>
      <w:pPr>
        <w:pStyle w:val="Compact"/>
        <w:numPr>
          <w:ilvl w:val="0"/>
          <w:numId w:val="1014"/>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4"/>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4"/>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4"/>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7"/>
    <w:bookmarkEnd w:id="88"/>
    <w:bookmarkStart w:id="89"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6"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6"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2026-06-23T17:42:56Z</dcterms:created>
  <dcterms:modified xsi:type="dcterms:W3CDTF">2026-06-23T17:42:56Z</dcterms:modified>
</cp:coreProperties>
</file>

<file path=docProps/custom.xml><?xml version="1.0" encoding="utf-8"?>
<Properties xmlns="http://schemas.openxmlformats.org/officeDocument/2006/custom-properties" xmlns:vt="http://schemas.openxmlformats.org/officeDocument/2006/docPropsVTypes"/>
</file>