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8.png" ContentType="image/png"/>
  <Override PartName="/word/media/rId33.png" ContentType="image/png"/>
  <Override PartName="/word/media/rId85.png" ContentType="image/png"/>
  <Override PartName="/word/media/rId60.png" ContentType="image/png"/>
  <Override PartName="/word/media/rId17.png" ContentType="image/png"/>
  <Override PartName="/word/media/rId54.png" ContentType="image/png"/>
  <Override PartName="/word/media/rId49.png" ContentType="image/png"/>
  <Override PartName="/word/media/rId44.png" ContentType="image/png"/>
  <Override PartName="/word/media/rId2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8" w:name="X8e4ebc2e1f4eb088d047a6684ad88a5c65a2b31"/>
    <w:p>
      <w:pPr>
        <w:pStyle w:val="Heading1"/>
      </w:pPr>
      <w:r>
        <w:t xml:space="preserve">Software Architecture Document – Tennis Score and Statistic (TSaS)</w:t>
      </w:r>
    </w:p>
    <w:p>
      <w:pPr>
        <w:pStyle w:val="FirstParagraph"/>
      </w:pPr>
      <w:r>
        <w:rPr>
          <w:i/>
          <w:iCs/>
        </w:rPr>
        <w:t xml:space="preserve">nach arc42 Template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Feld</w:t>
            </w:r>
          </w:p>
        </w:tc>
        <w:tc>
          <w:tcPr/>
          <w:p>
            <w:pPr>
              <w:pStyle w:val="Compact"/>
            </w:pPr>
            <w:r>
              <w:t xml:space="preserve">Wert</w:t>
            </w:r>
          </w:p>
        </w:tc>
      </w:tr>
      <w:tr>
        <w:tc>
          <w:tcPr/>
          <w:p>
            <w:pPr>
              <w:pStyle w:val="Compact"/>
            </w:pPr>
            <w:r>
              <w:rPr>
                <w:b/>
                <w:bCs/>
              </w:rPr>
              <w:t xml:space="preserve">Version</w:t>
            </w:r>
          </w:p>
        </w:tc>
        <w:tc>
          <w:tcPr/>
          <w:p>
            <w:pPr>
              <w:pStyle w:val="Compact"/>
            </w:pPr>
            <w:r>
              <w:t xml:space="preserve">2.0</w:t>
            </w:r>
          </w:p>
        </w:tc>
      </w:tr>
      <w:tr>
        <w:tc>
          <w:tcPr/>
          <w:p>
            <w:pPr>
              <w:pStyle w:val="Compact"/>
            </w:pPr>
            <w:r>
              <w:rPr>
                <w:b/>
                <w:bCs/>
              </w:rPr>
              <w:t xml:space="preserve">Datum</w:t>
            </w:r>
          </w:p>
        </w:tc>
        <w:tc>
          <w:tcPr/>
          <w:p>
            <w:pPr>
              <w:pStyle w:val="Compact"/>
            </w:pPr>
            <w:r>
              <w:t xml:space="preserve">27. Juni 2026</w:t>
            </w:r>
          </w:p>
        </w:tc>
      </w:tr>
      <w:tr>
        <w:tc>
          <w:tcPr/>
          <w:p>
            <w:pPr>
              <w:pStyle w:val="Compact"/>
            </w:pPr>
            <w:r>
              <w:rPr>
                <w:b/>
                <w:bCs/>
              </w:rPr>
              <w:t xml:space="preserve">Status</w:t>
            </w:r>
          </w:p>
        </w:tc>
        <w:tc>
          <w:tcPr/>
          <w:p>
            <w:pPr>
              <w:pStyle w:val="Compact"/>
            </w:pPr>
            <w:r>
              <w:t xml:space="preserve">ENTWURF</w:t>
            </w:r>
          </w:p>
        </w:tc>
      </w:tr>
      <w:tr>
        <w:tc>
          <w:tcPr/>
          <w:p>
            <w:pPr>
              <w:pStyle w:val="Compact"/>
            </w:pPr>
            <w:r>
              <w:rPr>
                <w:b/>
                <w:bCs/>
              </w:rPr>
              <w:t xml:space="preserve">Autor</w:t>
            </w:r>
          </w:p>
        </w:tc>
        <w:tc>
          <w:tcPr/>
          <w:p>
            <w:pPr>
              <w:pStyle w:val="Compact"/>
            </w:pPr>
            <w:r>
              <w:t xml:space="preserve">Christian Bonnhoff</w:t>
            </w:r>
          </w:p>
        </w:tc>
      </w:tr>
      <w:tr>
        <w:tc>
          <w:tcPr/>
          <w:p>
            <w:pPr>
              <w:pStyle w:val="Compact"/>
            </w:pPr>
            <w:r>
              <w:rPr>
                <w:b/>
                <w:bCs/>
              </w:rPr>
              <w:t xml:space="preserve">Klassifikation</w:t>
            </w:r>
          </w:p>
        </w:tc>
        <w:tc>
          <w:tcPr/>
          <w:p>
            <w:pPr>
              <w:pStyle w:val="Compact"/>
            </w:pPr>
            <w:r>
              <w:t xml:space="preserve">Intern</w:t>
            </w:r>
          </w:p>
        </w:tc>
      </w:tr>
      <w:tr>
        <w:tc>
          <w:tcPr/>
          <w:p>
            <w:pPr>
              <w:pStyle w:val="Compact"/>
            </w:pPr>
            <w:r>
              <w:rPr>
                <w:b/>
                <w:bCs/>
              </w:rPr>
              <w:t xml:space="preserve">GitHub</w:t>
            </w:r>
          </w:p>
        </w:tc>
        <w:tc>
          <w:tcPr/>
          <w:p>
            <w:pPr>
              <w:pStyle w:val="Compact"/>
            </w:pPr>
            <w:r>
              <w:t xml:space="preserve">https://github.com/cbo1970/tsas</w:t>
            </w:r>
          </w:p>
        </w:tc>
      </w:tr>
    </w:tbl>
    <w:p>
      <w:r>
        <w:pict>
          <v:rect style="width:0;height:1.5pt" o:hralign="center" o:hrstd="t" o:hr="t"/>
        </w:pict>
      </w:r>
    </w:p>
    <w:sdt>
      <w:sdtPr>
        <w:docPartObj>
          <w:docPartGallery w:val="Inhaltsverzeichnis"/>
          <w:docPartUnique/>
        </w:docPartObj>
      </w:sdtPr>
      <w:sdtContent>
        <w:p>
          <w:pPr>
            <w:pStyle w:val="TOCHeading"/>
          </w:pPr>
          <w:r>
            <w:t xml:space="preserve">Inhaltsverzeichnis</w:t>
          </w:r>
        </w:p>
        <w:p>
          <w:r>
            <w:fldChar w:fldCharType="begin" w:dirty="true"/>
            <w:instrText xml:space="preserve">TOC \o "1-3" \h \z \u</w:instrText>
            <w:fldChar w:fldCharType="separate"/>
            <w:fldChar w:fldCharType="end"/>
          </w:r>
        </w:p>
      </w:sdtContent>
    </w:sdt>
    <w:p>
      <w:r>
        <w:pict>
          <v:rect style="width:0;height:1.5pt" o:hralign="center" o:hrstd="t" o:hr="t"/>
        </w:pict>
      </w:r>
    </w:p>
    <w:bookmarkStart w:id="13" w:name="einführung-und-ziele"/>
    <w:p>
      <w:pPr>
        <w:pStyle w:val="Heading2"/>
      </w:pPr>
      <w:r>
        <w:t xml:space="preserve">1. Einführung und Ziele</w:t>
      </w:r>
    </w:p>
    <w:p>
      <w:pPr>
        <w:pStyle w:val="FirstParagraph"/>
      </w:pPr>
      <w:r>
        <w:t xml:space="preserve">Für die Vorbereitung auf ein Tennismatch fehlt eine Anwendung, mit der Eltern und Trainer Spielweise und</w:t>
      </w:r>
      <w:r>
        <w:t xml:space="preserve"> </w:t>
      </w:r>
      <w:r>
        <w:t xml:space="preserve">Eigenheiten des eigenen Spielers und des Gegners erfassen und auswerten können. Diese Lücke schliesst</w:t>
      </w:r>
      <w:r>
        <w:t xml:space="preserve"> </w:t>
      </w:r>
      <w:r>
        <w:rPr>
          <w:b/>
          <w:bCs/>
        </w:rPr>
        <w:t xml:space="preserve">Tennis Score and Statistic (TSaS)</w:t>
      </w:r>
      <w:r>
        <w:t xml:space="preserve">: eine Web-App (später zusätzlich iOS), mit der ein Match</w:t>
      </w:r>
      <w:r>
        <w:t xml:space="preserve"> </w:t>
      </w:r>
      <w:r>
        <w:t xml:space="preserve">Punkt für Punkt mit fixen Attributen dokumentiert und statistisch ausgewertet wird. Zusätzlich kann mittels KI</w:t>
      </w:r>
      <w:r>
        <w:t xml:space="preserve"> </w:t>
      </w:r>
      <w:r>
        <w:t xml:space="preserve">eine Matchanalyse durchgeführt werden um eine Strategie für zukünfige Matches gegen den gleichen Gegner zu entwickeln.</w:t>
      </w:r>
    </w:p>
    <w:bookmarkStart w:id="9" w:name="aufgabenstellung"/>
    <w:p>
      <w:pPr>
        <w:pStyle w:val="Heading3"/>
      </w:pPr>
      <w:r>
        <w:t xml:space="preserve">1.1 Aufgabenstellung</w:t>
      </w:r>
    </w:p>
    <w:p>
      <w:pPr>
        <w:pStyle w:val="FirstParagraph"/>
      </w:pPr>
      <w:r>
        <w:t xml:space="preserve">TSaS hält den Spielstand eines Tennismatches fest, dokumentiert jeden Punkt mit fixen Attributen und</w:t>
      </w:r>
      <w:r>
        <w:t xml:space="preserve"> </w:t>
      </w:r>
      <w:r>
        <w:t xml:space="preserve">ermöglicht statistische Auswertungen. Ein Freitext Feld ermöglicht es dem Coach zusätzliche Angaben zu machen, welche dann</w:t>
      </w:r>
      <w:r>
        <w:t xml:space="preserve"> </w:t>
      </w:r>
      <w:r>
        <w:t xml:space="preserve">der KI für die Matchanalyse mitgegeben werden.</w:t>
      </w:r>
    </w:p>
    <w:bookmarkEnd w:id="9"/>
    <w:bookmarkStart w:id="10" w:name="qualitätsziele"/>
    <w:p>
      <w:pPr>
        <w:pStyle w:val="Heading3"/>
      </w:pPr>
      <w:r>
        <w:t xml:space="preserve">1.2 Qualitätsziele</w:t>
      </w:r>
    </w:p>
    <w:tbl>
      <w:tblPr>
        <w:tblStyle w:val="Table"/>
        <w:tblW w:type="pct" w:w="5000"/>
        <w:tblLayout w:type="fixed"/>
        <w:tblLook w:firstRow="1" w:lastRow="0" w:firstColumn="0" w:lastColumn="0" w:noHBand="0" w:noVBand="0" w:val="0020"/>
      </w:tblPr>
      <w:tblGrid>
        <w:gridCol w:w="646"/>
        <w:gridCol w:w="2424"/>
        <w:gridCol w:w="3071"/>
        <w:gridCol w:w="1777"/>
      </w:tblGrid>
      <w:tr>
        <w:trPr>
          <w:tblHeader w:val="on"/>
        </w:trPr>
        <w:tc>
          <w:tcPr/>
          <w:p>
            <w:pPr>
              <w:pStyle w:val="Compact"/>
            </w:pPr>
            <w:r>
              <w:t xml:space="preserve">ID</w:t>
            </w:r>
          </w:p>
        </w:tc>
        <w:tc>
          <w:tcPr/>
          <w:p>
            <w:pPr>
              <w:pStyle w:val="Compact"/>
            </w:pPr>
            <w:r>
              <w:t xml:space="preserve">Qualitätsziel</w:t>
            </w:r>
          </w:p>
        </w:tc>
        <w:tc>
          <w:tcPr/>
          <w:p>
            <w:pPr>
              <w:pStyle w:val="Compact"/>
            </w:pPr>
            <w:r>
              <w:t xml:space="preserve">Szenario (SMART)</w:t>
            </w:r>
          </w:p>
        </w:tc>
        <w:tc>
          <w:tcPr/>
          <w:p>
            <w:pPr>
              <w:pStyle w:val="Compact"/>
            </w:pPr>
            <w:r>
              <w:t xml:space="preserve">Priorität</w:t>
            </w:r>
          </w:p>
        </w:tc>
      </w:tr>
      <w:tr>
        <w:tc>
          <w:tcPr/>
          <w:p>
            <w:pPr>
              <w:pStyle w:val="Compact"/>
            </w:pPr>
            <w:r>
              <w:t xml:space="preserve">QZ-01</w:t>
            </w:r>
          </w:p>
        </w:tc>
        <w:tc>
          <w:tcPr/>
          <w:p>
            <w:pPr>
              <w:pStyle w:val="Compact"/>
            </w:pPr>
            <w:r>
              <w:t xml:space="preserve">Wartbarkeit / Erweiterbarkeit</w:t>
            </w:r>
          </w:p>
        </w:tc>
        <w:tc>
          <w:tcPr/>
          <w:p>
            <w:pPr>
              <w:pStyle w:val="Compact"/>
            </w:pPr>
            <w:r>
              <w:t xml:space="preserve">Ein neues fachliches Modul (z. B. Statistik-Erweiterung) ist in ≤ 5 Personentagen integrierbar, ohne bestehende Module zu ändern.</w:t>
            </w:r>
          </w:p>
        </w:tc>
        <w:tc>
          <w:tcPr/>
          <w:p>
            <w:pPr>
              <w:pStyle w:val="Compact"/>
            </w:pPr>
            <w:r>
              <w:t xml:space="preserve">Hoch</w:t>
            </w:r>
          </w:p>
        </w:tc>
      </w:tr>
      <w:tr>
        <w:tc>
          <w:tcPr/>
          <w:p>
            <w:pPr>
              <w:pStyle w:val="Compact"/>
            </w:pPr>
            <w:r>
              <w:t xml:space="preserve">QZ-02</w:t>
            </w:r>
          </w:p>
        </w:tc>
        <w:tc>
          <w:tcPr/>
          <w:p>
            <w:pPr>
              <w:pStyle w:val="Compact"/>
            </w:pPr>
            <w:r>
              <w:t xml:space="preserve">Verfügbarkeit</w:t>
            </w:r>
          </w:p>
        </w:tc>
        <w:tc>
          <w:tcPr/>
          <w:p>
            <w:pPr>
              <w:pStyle w:val="Compact"/>
            </w:pPr>
            <w:r>
              <w:t xml:space="preserve">≥ 95 % pro Kalendermonat (HTTP-Health-Check des API-Endpunkts).</w:t>
            </w:r>
          </w:p>
        </w:tc>
        <w:tc>
          <w:tcPr/>
          <w:p>
            <w:pPr>
              <w:pStyle w:val="Compact"/>
            </w:pPr>
            <w:r>
              <w:t xml:space="preserve">Hoch</w:t>
            </w:r>
          </w:p>
        </w:tc>
      </w:tr>
      <w:tr>
        <w:tc>
          <w:tcPr/>
          <w:p>
            <w:pPr>
              <w:pStyle w:val="Compact"/>
            </w:pPr>
            <w:r>
              <w:t xml:space="preserve">QZ-03</w:t>
            </w:r>
          </w:p>
        </w:tc>
        <w:tc>
          <w:tcPr/>
          <w:p>
            <w:pPr>
              <w:pStyle w:val="Compact"/>
            </w:pPr>
            <w:r>
              <w:t xml:space="preserve">Performance – Datenerfassung</w:t>
            </w:r>
          </w:p>
        </w:tc>
        <w:tc>
          <w:tcPr/>
          <w:p>
            <w:pPr>
              <w:pStyle w:val="Compact"/>
            </w:pPr>
            <w:r>
              <w:t xml:space="preserve">Erfassen eines Punktes (</w:t>
            </w:r>
            <w:r>
              <w:rPr>
                <w:rStyle w:val="VerbatimChar"/>
              </w:rPr>
              <w:t xml:space="preserve">POST .../points</w:t>
            </w:r>
            <w:r>
              <w:t xml:space="preserve">) ≤ 250 ms (95. Perzentil, serverseitig) bei bis zu 100 gleichzeitigen Nutzern.</w:t>
            </w:r>
          </w:p>
        </w:tc>
        <w:tc>
          <w:tcPr/>
          <w:p>
            <w:pPr>
              <w:pStyle w:val="Compact"/>
            </w:pPr>
            <w:r>
              <w:t xml:space="preserve">Hoch</w:t>
            </w:r>
          </w:p>
        </w:tc>
      </w:tr>
      <w:tr>
        <w:tc>
          <w:tcPr/>
          <w:p>
            <w:pPr>
              <w:pStyle w:val="Compact"/>
            </w:pPr>
            <w:r>
              <w:t xml:space="preserve">QZ-04</w:t>
            </w:r>
          </w:p>
        </w:tc>
        <w:tc>
          <w:tcPr/>
          <w:p>
            <w:pPr>
              <w:pStyle w:val="Compact"/>
            </w:pPr>
            <w:r>
              <w:t xml:space="preserve">Performance – Statistik</w:t>
            </w:r>
          </w:p>
        </w:tc>
        <w:tc>
          <w:tcPr/>
          <w:p>
            <w:pPr>
              <w:pStyle w:val="Compact"/>
            </w:pPr>
            <w:r>
              <w:t xml:space="preserve">Head-to-Head-Berechnung ≤ 60 s, auch bei &gt; 500 Matches.</w:t>
            </w:r>
          </w:p>
        </w:tc>
        <w:tc>
          <w:tcPr/>
          <w:p>
            <w:pPr>
              <w:pStyle w:val="Compact"/>
            </w:pPr>
            <w:r>
              <w:t xml:space="preserve">Mittel</w:t>
            </w:r>
          </w:p>
        </w:tc>
      </w:tr>
      <w:tr>
        <w:tc>
          <w:tcPr/>
          <w:p>
            <w:pPr>
              <w:pStyle w:val="Compact"/>
            </w:pPr>
            <w:r>
              <w:t xml:space="preserve">QZ-05</w:t>
            </w:r>
          </w:p>
        </w:tc>
        <w:tc>
          <w:tcPr/>
          <w:p>
            <w:pPr>
              <w:pStyle w:val="Compact"/>
            </w:pPr>
            <w:r>
              <w:t xml:space="preserve">Sicherheit</w:t>
            </w:r>
          </w:p>
        </w:tc>
        <w:tc>
          <w:tcPr/>
          <w:p>
            <w:pPr>
              <w:pStyle w:val="Compact"/>
            </w:pPr>
            <w:r>
              <w:t xml:space="preserve">Alle API-Endpunkte (ausser</w:t>
            </w:r>
            <w:r>
              <w:t xml:space="preserve"> </w:t>
            </w:r>
            <w:r>
              <w:rPr>
                <w:rStyle w:val="VerbatimChar"/>
              </w:rPr>
              <w:t xml:space="preserve">/health</w:t>
            </w:r>
            <w:r>
              <w:t xml:space="preserve">) durch gültiges OAuth2-Bearer-Token geschützt; unautorisiert → HTTP 401.</w:t>
            </w:r>
          </w:p>
        </w:tc>
        <w:tc>
          <w:tcPr/>
          <w:p>
            <w:pPr>
              <w:pStyle w:val="Compact"/>
            </w:pPr>
            <w:r>
              <w:t xml:space="preserve">Hoch</w:t>
            </w:r>
          </w:p>
        </w:tc>
      </w:tr>
      <w:tr>
        <w:tc>
          <w:tcPr/>
          <w:p>
            <w:pPr>
              <w:pStyle w:val="Compact"/>
            </w:pPr>
            <w:r>
              <w:t xml:space="preserve">QZ-06</w:t>
            </w:r>
          </w:p>
        </w:tc>
        <w:tc>
          <w:tcPr/>
          <w:p>
            <w:pPr>
              <w:pStyle w:val="Compact"/>
            </w:pPr>
            <w:r>
              <w:t xml:space="preserve">Performance – KI-Analyse</w:t>
            </w:r>
          </w:p>
        </w:tc>
        <w:tc>
          <w:tcPr/>
          <w:p>
            <w:pPr>
              <w:pStyle w:val="Compact"/>
            </w:pPr>
            <w:r>
              <w:t xml:space="preserve">KI-Postmortem synchron ≤ 60 s (LLM-Timeout); erneutes Lesen aus DB &lt; 250 ms.</w:t>
            </w:r>
          </w:p>
        </w:tc>
        <w:tc>
          <w:tcPr/>
          <w:p>
            <w:pPr>
              <w:pStyle w:val="Compact"/>
            </w:pPr>
            <w:r>
              <w:t xml:space="preserve">Mittel</w:t>
            </w:r>
          </w:p>
        </w:tc>
      </w:tr>
    </w:tbl>
    <w:bookmarkEnd w:id="10"/>
    <w:bookmarkStart w:id="11" w:name="stakeholder"/>
    <w:p>
      <w:pPr>
        <w:pStyle w:val="Heading3"/>
      </w:pPr>
      <w:r>
        <w:t xml:space="preserve">1.3 Stakeholder</w:t>
      </w:r>
    </w:p>
    <w:tbl>
      <w:tblPr>
        <w:tblStyle w:val="Table"/>
        <w:tblW w:type="pct" w:w="5000"/>
        <w:tblLayout w:type="fixed"/>
        <w:tblLook w:firstRow="1" w:lastRow="0" w:firstColumn="0" w:lastColumn="0" w:noHBand="0" w:noVBand="0" w:val="0020"/>
      </w:tblPr>
      <w:tblGrid>
        <w:gridCol w:w="2132"/>
        <w:gridCol w:w="5787"/>
      </w:tblGrid>
      <w:tr>
        <w:trPr>
          <w:tblHeader w:val="on"/>
        </w:trPr>
        <w:tc>
          <w:tcPr/>
          <w:p>
            <w:pPr>
              <w:pStyle w:val="Compact"/>
            </w:pPr>
            <w:r>
              <w:t xml:space="preserve">Rolle</w:t>
            </w:r>
          </w:p>
        </w:tc>
        <w:tc>
          <w:tcPr/>
          <w:p>
            <w:pPr>
              <w:pStyle w:val="Compact"/>
            </w:pPr>
            <w:r>
              <w:t xml:space="preserve">Erwartungshaltung</w:t>
            </w:r>
          </w:p>
        </w:tc>
      </w:tr>
      <w:tr>
        <w:tc>
          <w:tcPr/>
          <w:p>
            <w:pPr>
              <w:pStyle w:val="Compact"/>
            </w:pPr>
            <w:r>
              <w:rPr>
                <w:b/>
                <w:bCs/>
              </w:rPr>
              <w:t xml:space="preserve">Tennistrainer</w:t>
            </w:r>
          </w:p>
        </w:tc>
        <w:tc>
          <w:tcPr/>
          <w:p>
            <w:pPr>
              <w:pStyle w:val="Compact"/>
            </w:pPr>
            <w:r>
              <w:t xml:space="preserve">Matches dokumentieren, Statistiken zur Gegner-Vorbereitung, Spielweise eigener Spieler analysieren.</w:t>
            </w:r>
          </w:p>
        </w:tc>
      </w:tr>
      <w:tr>
        <w:tc>
          <w:tcPr/>
          <w:p>
            <w:pPr>
              <w:pStyle w:val="Compact"/>
            </w:pPr>
            <w:r>
              <w:rPr>
                <w:b/>
                <w:bCs/>
              </w:rPr>
              <w:t xml:space="preserve">Eltern</w:t>
            </w:r>
          </w:p>
        </w:tc>
        <w:tc>
          <w:tcPr/>
          <w:p>
            <w:pPr>
              <w:pStyle w:val="Compact"/>
            </w:pPr>
            <w:r>
              <w:t xml:space="preserve">Einfache Bedienung während des Matches, übersichtliche Darstellung von Verlauf und Ergebnis.</w:t>
            </w:r>
          </w:p>
        </w:tc>
      </w:tr>
      <w:tr>
        <w:tc>
          <w:tcPr/>
          <w:p>
            <w:pPr>
              <w:pStyle w:val="Compact"/>
            </w:pPr>
            <w:r>
              <w:rPr>
                <w:b/>
                <w:bCs/>
              </w:rPr>
              <w:t xml:space="preserve">Entwickler / Betreiber</w:t>
            </w:r>
          </w:p>
        </w:tc>
        <w:tc>
          <w:tcPr/>
          <w:p>
            <w:pPr>
              <w:pStyle w:val="Compact"/>
            </w:pPr>
            <w:r>
              <w:t xml:space="preserve">Wartbare, dokumentierte Codebasis, einfaches Docker-Deployment.</w:t>
            </w:r>
          </w:p>
        </w:tc>
      </w:tr>
    </w:tbl>
    <w:bookmarkEnd w:id="11"/>
    <w:bookmarkStart w:id="12" w:name="ki-nutzen-pro-kernfunktion"/>
    <w:p>
      <w:pPr>
        <w:pStyle w:val="Heading3"/>
      </w:pPr>
      <w:r>
        <w:t xml:space="preserve">1.4 KI-Nutzen pro Kernfunktion</w:t>
      </w:r>
    </w:p>
    <w:p>
      <w:pPr>
        <w:pStyle w:val="FirstParagraph"/>
      </w:pPr>
      <w:r>
        <w:t xml:space="preserve">Scoring und Statistik sind rein deterministisch; KI wird gezielt nur dort eingesetzt, wo natürlichsprachliche Synthese</w:t>
      </w:r>
      <w:r>
        <w:t xml:space="preserve"> </w:t>
      </w:r>
      <w:r>
        <w:t xml:space="preserve">einen aus Roh-Statistiken nicht mechanisch ableitbaren Mehrwert liefert.</w:t>
      </w:r>
    </w:p>
    <w:tbl>
      <w:tblPr>
        <w:tblStyle w:val="Table"/>
        <w:tblW w:type="pct" w:w="5000"/>
        <w:tblLayout w:type="fixed"/>
        <w:tblLook w:firstRow="1" w:lastRow="0" w:firstColumn="0" w:lastColumn="0" w:noHBand="0" w:noVBand="0" w:val="0020"/>
      </w:tblPr>
      <w:tblGrid>
        <w:gridCol w:w="661"/>
        <w:gridCol w:w="898"/>
        <w:gridCol w:w="6359"/>
      </w:tblGrid>
      <w:tr>
        <w:trPr>
          <w:tblHeader w:val="on"/>
        </w:trPr>
        <w:tc>
          <w:tcPr/>
          <w:p>
            <w:pPr>
              <w:pStyle w:val="Compact"/>
            </w:pPr>
            <w:r>
              <w:t xml:space="preserve">FA</w:t>
            </w:r>
          </w:p>
        </w:tc>
        <w:tc>
          <w:tcPr/>
          <w:p>
            <w:pPr>
              <w:pStyle w:val="Compact"/>
            </w:pPr>
            <w:r>
              <w:t xml:space="preserve">Funktion</w:t>
            </w:r>
          </w:p>
        </w:tc>
        <w:tc>
          <w:tcPr/>
          <w:p>
            <w:pPr>
              <w:pStyle w:val="Compact"/>
            </w:pPr>
            <w:r>
              <w:t xml:space="preserve">KI-Anteil</w:t>
            </w:r>
          </w:p>
        </w:tc>
      </w:tr>
      <w:tr>
        <w:tc>
          <w:tcPr/>
          <w:p>
            <w:pPr>
              <w:pStyle w:val="Compact"/>
            </w:pPr>
            <w:r>
              <w:t xml:space="preserve">FA-01, FA-02</w:t>
            </w:r>
          </w:p>
        </w:tc>
        <w:tc>
          <w:tcPr/>
          <w:p>
            <w:pPr>
              <w:pStyle w:val="Compact"/>
            </w:pPr>
            <w:r>
              <w:t xml:space="preserve">Registrierung / Authentifizierung</w:t>
            </w:r>
          </w:p>
        </w:tc>
        <w:tc>
          <w:tcPr/>
          <w:p>
            <w:pPr>
              <w:pStyle w:val="Compact"/>
            </w:pPr>
            <w:r>
              <w:t xml:space="preserve">– (Keycloak, OAuth2/OIDC)</w:t>
            </w:r>
          </w:p>
        </w:tc>
      </w:tr>
      <w:tr>
        <w:tc>
          <w:tcPr/>
          <w:p>
            <w:pPr>
              <w:pStyle w:val="Compact"/>
            </w:pPr>
            <w:r>
              <w:t xml:space="preserve">FA-03, FA-04, FA-12, FA-13</w:t>
            </w:r>
          </w:p>
        </w:tc>
        <w:tc>
          <w:tcPr/>
          <w:p>
            <w:pPr>
              <w:pStyle w:val="Compact"/>
            </w:pPr>
            <w:r>
              <w:t xml:space="preserve">Spieler-CRUD und -Suche</w:t>
            </w:r>
          </w:p>
        </w:tc>
        <w:tc>
          <w:tcPr/>
          <w:p>
            <w:pPr>
              <w:pStyle w:val="Compact"/>
            </w:pPr>
            <w:r>
              <w:t xml:space="preserve">– (klassisches CRUD)</w:t>
            </w:r>
          </w:p>
        </w:tc>
      </w:tr>
      <w:tr>
        <w:tc>
          <w:tcPr/>
          <w:p>
            <w:pPr>
              <w:pStyle w:val="Compact"/>
            </w:pPr>
            <w:r>
              <w:t xml:space="preserve">FA-05, FA-14–FA-16</w:t>
            </w:r>
          </w:p>
        </w:tc>
        <w:tc>
          <w:tcPr/>
          <w:p>
            <w:pPr>
              <w:pStyle w:val="Compact"/>
            </w:pPr>
            <w:r>
              <w:t xml:space="preserve">Match-Lebenszyklus</w:t>
            </w:r>
          </w:p>
        </w:tc>
        <w:tc>
          <w:tcPr/>
          <w:p>
            <w:pPr>
              <w:pStyle w:val="Compact"/>
            </w:pPr>
            <w:r>
              <w:t xml:space="preserve">– (deterministisch)</w:t>
            </w:r>
          </w:p>
        </w:tc>
      </w:tr>
      <w:tr>
        <w:tc>
          <w:tcPr/>
          <w:p>
            <w:pPr>
              <w:pStyle w:val="Compact"/>
            </w:pPr>
            <w:r>
              <w:t xml:space="preserve">FA-06, FA-07</w:t>
            </w:r>
          </w:p>
        </w:tc>
        <w:tc>
          <w:tcPr/>
          <w:p>
            <w:pPr>
              <w:pStyle w:val="Compact"/>
            </w:pPr>
            <w:r>
              <w:t xml:space="preserve">Punkt erfassen / Spielstand</w:t>
            </w:r>
          </w:p>
        </w:tc>
        <w:tc>
          <w:tcPr/>
          <w:p>
            <w:pPr>
              <w:pStyle w:val="Compact"/>
            </w:pPr>
            <w:r>
              <w:t xml:space="preserve">– (ITF-Regelwerk in</w:t>
            </w:r>
            <w:r>
              <w:t xml:space="preserve"> </w:t>
            </w:r>
            <w:r>
              <w:rPr>
                <w:rStyle w:val="VerbatimChar"/>
              </w:rPr>
              <w:t xml:space="preserve">ScoringService</w:t>
            </w:r>
            <w:r>
              <w:t xml:space="preserve">)</w:t>
            </w:r>
          </w:p>
        </w:tc>
      </w:tr>
      <w:tr>
        <w:tc>
          <w:tcPr/>
          <w:p>
            <w:pPr>
              <w:pStyle w:val="Compact"/>
            </w:pPr>
            <w:r>
              <w:t xml:space="preserve">FA-08, FA-17</w:t>
            </w:r>
          </w:p>
        </w:tc>
        <w:tc>
          <w:tcPr/>
          <w:p>
            <w:pPr>
              <w:pStyle w:val="Compact"/>
            </w:pPr>
            <w:r>
              <w:t xml:space="preserve">Head-to-Head- / Match-Statistik</w:t>
            </w:r>
          </w:p>
        </w:tc>
        <w:tc>
          <w:tcPr/>
          <w:p>
            <w:pPr>
              <w:pStyle w:val="Compact"/>
            </w:pPr>
            <w:r>
              <w:t xml:space="preserve">– (Aggregation aus</w:t>
            </w:r>
            <w:r>
              <w:t xml:space="preserve"> </w:t>
            </w:r>
            <w:r>
              <w:rPr>
                <w:rStyle w:val="VerbatimChar"/>
              </w:rPr>
              <w:t xml:space="preserve">points</w:t>
            </w:r>
            <w:r>
              <w:t xml:space="preserve">)</w:t>
            </w:r>
          </w:p>
        </w:tc>
      </w:tr>
      <w:tr>
        <w:tc>
          <w:tcPr/>
          <w:p>
            <w:pPr>
              <w:pStyle w:val="Compact"/>
            </w:pPr>
            <w:r>
              <w:t xml:space="preserve">FA-22</w:t>
            </w:r>
          </w:p>
        </w:tc>
        <w:tc>
          <w:tcPr/>
          <w:p>
            <w:pPr>
              <w:pStyle w:val="Compact"/>
            </w:pPr>
            <w:r>
              <w:t xml:space="preserve">Coach-Freitext-Notizen</w:t>
            </w:r>
          </w:p>
        </w:tc>
        <w:tc>
          <w:tcPr/>
          <w:p>
            <w:pPr>
              <w:pStyle w:val="Compact"/>
            </w:pPr>
            <w:r>
              <w:t xml:space="preserve">– (CRUD; Notizen fliessen aber als Kontext in FA-11/FA-20)</w:t>
            </w:r>
          </w:p>
        </w:tc>
      </w:tr>
      <w:tr>
        <w:tc>
          <w:tcPr/>
          <w:p>
            <w:pPr>
              <w:pStyle w:val="Compact"/>
            </w:pPr>
            <w:r>
              <w:t xml:space="preserve">FA-11</w:t>
            </w:r>
          </w:p>
        </w:tc>
        <w:tc>
          <w:tcPr/>
          <w:p>
            <w:pPr>
              <w:pStyle w:val="Compact"/>
            </w:pPr>
            <w:r>
              <w:t xml:space="preserve">KI-Match-Analyse (Postmortem)</w:t>
            </w:r>
          </w:p>
        </w:tc>
        <w:tc>
          <w:tcPr/>
          <w:p>
            <w:pPr>
              <w:pStyle w:val="Compact"/>
            </w:pPr>
            <w:r>
              <w:t xml:space="preserve">Spring AI → OpenAI (Default</w:t>
            </w:r>
            <w:r>
              <w:t xml:space="preserve"> </w:t>
            </w:r>
            <w:r>
              <w:rPr>
                <w:rStyle w:val="VerbatimChar"/>
              </w:rPr>
              <w:t xml:space="preserve">gpt-4o-mini</w:t>
            </w:r>
            <w:r>
              <w:t xml:space="preserve">), strukturierter JSON-Output via</w:t>
            </w:r>
            <w:r>
              <w:t xml:space="preserve"> </w:t>
            </w:r>
            <w:r>
              <w:rPr>
                <w:rStyle w:val="VerbatimChar"/>
              </w:rPr>
              <w:t xml:space="preserve">BeanOutputConverter</w:t>
            </w:r>
            <w:r>
              <w:t xml:space="preserve">, deterministischer Fallback (</w:t>
            </w:r>
            <w:r>
              <w:rPr>
                <w:rStyle w:val="VerbatimChar"/>
              </w:rPr>
              <w:t xml:space="preserve">FakeLlmClientAdapter</w:t>
            </w:r>
            <w:r>
              <w:t xml:space="preserve">). Liefert taktische Synthese (Schlüsselmomente, Stärken/Schwächen je Spieler, 3–5 priorisierte Empfehlungen).</w:t>
            </w:r>
          </w:p>
        </w:tc>
      </w:tr>
      <w:tr>
        <w:tc>
          <w:tcPr/>
          <w:p>
            <w:pPr>
              <w:pStyle w:val="Compact"/>
            </w:pPr>
            <w:r>
              <w:t xml:space="preserve">FA-20</w:t>
            </w:r>
          </w:p>
        </w:tc>
        <w:tc>
          <w:tcPr/>
          <w:p>
            <w:pPr>
              <w:pStyle w:val="Compact"/>
            </w:pPr>
            <w:r>
              <w:t xml:space="preserve">KI-Vorbereitung gegen einen Gegner</w:t>
            </w:r>
          </w:p>
        </w:tc>
        <w:tc>
          <w:tcPr/>
          <w:p>
            <w:pPr>
              <w:pStyle w:val="Compact"/>
            </w:pPr>
            <w:r>
              <w:t xml:space="preserve">Gleiche Adapter-Chain. Liefert vorausschauende Vorbereitung (</w:t>
            </w:r>
            <w:r>
              <w:rPr>
                <w:rStyle w:val="VerbatimChar"/>
              </w:rPr>
              <w:t xml:space="preserve">opponentProfile</w:t>
            </w:r>
            <w:r>
              <w:t xml:space="preserve">,</w:t>
            </w:r>
            <w:r>
              <w:t xml:space="preserve"> </w:t>
            </w:r>
            <w:r>
              <w:rPr>
                <w:rStyle w:val="VerbatimChar"/>
              </w:rPr>
              <w:t xml:space="preserve">tacticalObservations</w:t>
            </w:r>
            <w:r>
              <w:t xml:space="preserve">,</w:t>
            </w:r>
            <w:r>
              <w:t xml:space="preserve"> </w:t>
            </w:r>
            <w:r>
              <w:rPr>
                <w:rStyle w:val="VerbatimChar"/>
              </w:rPr>
              <w:t xml:space="preserve">serveStrategy</w:t>
            </w:r>
            <w:r>
              <w:t xml:space="preserve">,</w:t>
            </w:r>
            <w:r>
              <w:t xml:space="preserve"> </w:t>
            </w:r>
            <w:r>
              <w:rPr>
                <w:rStyle w:val="VerbatimChar"/>
              </w:rPr>
              <w:t xml:space="preserve">returnStrategy</w:t>
            </w:r>
            <w:r>
              <w:t xml:space="preserve"> </w:t>
            </w:r>
            <w:r>
              <w:t xml:space="preserve">+ 3–5 Empfehlungen) auf Basis der kumulierten Head-to-Head-Statistik (FA-08). Nicht persistiert; gleicher Rate-Limiter wie FA-11.</w:t>
            </w:r>
          </w:p>
        </w:tc>
      </w:tr>
      <w:tr>
        <w:tc>
          <w:tcPr/>
          <w:p>
            <w:pPr>
              <w:pStyle w:val="Compact"/>
            </w:pPr>
            <w:r>
              <w:t xml:space="preserve">FA-09 (V2)</w:t>
            </w:r>
          </w:p>
        </w:tc>
        <w:tc>
          <w:tcPr/>
          <w:p>
            <w:pPr>
              <w:pStyle w:val="Compact"/>
            </w:pPr>
            <w:r>
              <w:t xml:space="preserve">Google-Login</w:t>
            </w:r>
          </w:p>
        </w:tc>
        <w:tc>
          <w:tcPr/>
          <w:p>
            <w:pPr>
              <w:pStyle w:val="Compact"/>
            </w:pPr>
            <w:r>
              <w:t xml:space="preserve">– (IdP-Federation)</w:t>
            </w:r>
          </w:p>
        </w:tc>
      </w:tr>
      <w:tr>
        <w:tc>
          <w:tcPr/>
          <w:p>
            <w:pPr>
              <w:pStyle w:val="Compact"/>
            </w:pPr>
            <w:r>
              <w:t xml:space="preserve">FA-21 (V2)</w:t>
            </w:r>
          </w:p>
        </w:tc>
        <w:tc>
          <w:tcPr/>
          <w:p>
            <w:pPr>
              <w:pStyle w:val="Compact"/>
            </w:pPr>
            <w:r>
              <w:t xml:space="preserve">KI-Live-Coaching während des Matches</w:t>
            </w:r>
          </w:p>
        </w:tc>
        <w:tc>
          <w:tcPr/>
          <w:p>
            <w:pPr>
              <w:pStyle w:val="Compact"/>
            </w:pPr>
            <w:r>
              <w:t xml:space="preserve">Gleiche Adapter-Chain. Liefert konkrete Vorschläge bis zum nächsten Seitenwechsel. Nicht persistiert; gleicher Rate-Limiter wie FA-11.</w:t>
            </w:r>
          </w:p>
        </w:tc>
      </w:tr>
      <w:tr>
        <w:tc>
          <w:tcPr/>
          <w:p>
            <w:pPr>
              <w:pStyle w:val="Compact"/>
            </w:pPr>
            <w:r>
              <w:t xml:space="preserve">FA-10 (V3)</w:t>
            </w:r>
          </w:p>
        </w:tc>
        <w:tc>
          <w:tcPr/>
          <w:p>
            <w:pPr>
              <w:pStyle w:val="Compact"/>
            </w:pPr>
            <w:r>
              <w:t xml:space="preserve">Aufsprungpunkte erfassen</w:t>
            </w:r>
          </w:p>
        </w:tc>
        <w:tc>
          <w:tcPr/>
          <w:p>
            <w:pPr>
              <w:pStyle w:val="Compact"/>
            </w:pPr>
            <w:r>
              <w:t xml:space="preserve">– (Touch-Erfassung)</w:t>
            </w:r>
          </w:p>
        </w:tc>
      </w:tr>
    </w:tbl>
    <w:p>
      <w:pPr>
        <w:pStyle w:val="BodyText"/>
      </w:pPr>
      <w:r>
        <w:t xml:space="preserve">Mit FA-20 wurde die zweite KI-Rolle (Gegner-Vorbereitung) implementiert.</w:t>
      </w:r>
    </w:p>
    <w:p>
      <w:r>
        <w:pict>
          <v:rect style="width:0;height:1.5pt" o:hralign="center" o:hrstd="t" o:hr="t"/>
        </w:pict>
      </w:r>
    </w:p>
    <w:bookmarkEnd w:id="12"/>
    <w:bookmarkEnd w:id="13"/>
    <w:bookmarkStart w:id="16" w:name="randbedingungen"/>
    <w:p>
      <w:pPr>
        <w:pStyle w:val="Heading2"/>
      </w:pPr>
      <w:r>
        <w:t xml:space="preserve">2. Randbedingungen</w:t>
      </w:r>
    </w:p>
    <w:bookmarkStart w:id="14" w:name="technische-randbedingungen"/>
    <w:p>
      <w:pPr>
        <w:pStyle w:val="Heading3"/>
      </w:pPr>
      <w:r>
        <w:t xml:space="preserve">2.1 Technische Randbedingungen</w:t>
      </w:r>
    </w:p>
    <w:tbl>
      <w:tblPr>
        <w:tblStyle w:val="Table"/>
        <w:tblW w:type="pct" w:w="5000"/>
        <w:tblLayout w:type="fixed"/>
        <w:tblLook w:firstRow="1" w:lastRow="0" w:firstColumn="0" w:lastColumn="0" w:noHBand="0" w:noVBand="0" w:val="0020"/>
      </w:tblPr>
      <w:tblGrid>
        <w:gridCol w:w="128"/>
        <w:gridCol w:w="7791"/>
      </w:tblGrid>
      <w:tr>
        <w:trPr>
          <w:tblHeader w:val="on"/>
        </w:trPr>
        <w:tc>
          <w:tcPr/>
          <w:p>
            <w:pPr>
              <w:pStyle w:val="Compact"/>
            </w:pPr>
            <w:r>
              <w:t xml:space="preserve">ID</w:t>
            </w:r>
          </w:p>
        </w:tc>
        <w:tc>
          <w:tcPr/>
          <w:p>
            <w:pPr>
              <w:pStyle w:val="Compact"/>
            </w:pPr>
            <w:r>
              <w:t xml:space="preserve">Randbedingung</w:t>
            </w:r>
          </w:p>
        </w:tc>
      </w:tr>
      <w:tr>
        <w:tc>
          <w:tcPr/>
          <w:p>
            <w:pPr>
              <w:pStyle w:val="Compact"/>
            </w:pPr>
            <w:r>
              <w:t xml:space="preserve">RB-T01</w:t>
            </w:r>
          </w:p>
        </w:tc>
        <w:tc>
          <w:tcPr/>
          <w:p>
            <w:pPr>
              <w:pStyle w:val="Compact"/>
            </w:pPr>
            <w:r>
              <w:t xml:space="preserve">Backend: Java 25 mit Spring Boot 4</w:t>
            </w:r>
          </w:p>
        </w:tc>
      </w:tr>
      <w:tr>
        <w:tc>
          <w:tcPr/>
          <w:p>
            <w:pPr>
              <w:pStyle w:val="Compact"/>
            </w:pPr>
            <w:r>
              <w:t xml:space="preserve">RB-T02</w:t>
            </w:r>
          </w:p>
        </w:tc>
        <w:tc>
          <w:tcPr/>
          <w:p>
            <w:pPr>
              <w:pStyle w:val="Compact"/>
            </w:pPr>
            <w:r>
              <w:t xml:space="preserve">Frontend: Angular mit Node.js (Build/Dev-Server) nginx für Betrieb (ADR-15)</w:t>
            </w:r>
          </w:p>
        </w:tc>
      </w:tr>
      <w:tr>
        <w:tc>
          <w:tcPr/>
          <w:p>
            <w:pPr>
              <w:pStyle w:val="Compact"/>
            </w:pPr>
            <w:r>
              <w:t xml:space="preserve">RB-T03</w:t>
            </w:r>
          </w:p>
        </w:tc>
        <w:tc>
          <w:tcPr/>
          <w:p>
            <w:pPr>
              <w:pStyle w:val="Compact"/>
            </w:pPr>
            <w:r>
              <w:t xml:space="preserve">Datenbank: PostgreSQL</w:t>
            </w:r>
          </w:p>
        </w:tc>
      </w:tr>
      <w:tr>
        <w:tc>
          <w:tcPr/>
          <w:p>
            <w:pPr>
              <w:pStyle w:val="Compact"/>
            </w:pPr>
            <w:r>
              <w:t xml:space="preserve">RB-T04</w:t>
            </w:r>
          </w:p>
        </w:tc>
        <w:tc>
          <w:tcPr/>
          <w:p>
            <w:pPr>
              <w:pStyle w:val="Compact"/>
            </w:pPr>
            <w:r>
              <w:t xml:space="preserve">Auth: Keycloak als Identity Provider (OAuth2/OIDC)</w:t>
            </w:r>
          </w:p>
        </w:tc>
      </w:tr>
      <w:tr>
        <w:tc>
          <w:tcPr/>
          <w:p>
            <w:pPr>
              <w:pStyle w:val="Compact"/>
            </w:pPr>
            <w:r>
              <w:t xml:space="preserve">RB-T05</w:t>
            </w:r>
          </w:p>
        </w:tc>
        <w:tc>
          <w:tcPr/>
          <w:p>
            <w:pPr>
              <w:pStyle w:val="Compact"/>
            </w:pPr>
            <w:r>
              <w:t xml:space="preserve">Deployment: Docker Container (docker-compose), Frontend + Backend + DB</w:t>
            </w:r>
          </w:p>
        </w:tc>
      </w:tr>
      <w:tr>
        <w:tc>
          <w:tcPr/>
          <w:p>
            <w:pPr>
              <w:pStyle w:val="Compact"/>
            </w:pPr>
            <w:r>
              <w:t xml:space="preserve">RB-T06</w:t>
            </w:r>
          </w:p>
        </w:tc>
        <w:tc>
          <w:tcPr/>
          <w:p>
            <w:pPr>
              <w:pStyle w:val="Compact"/>
            </w:pPr>
            <w:r>
              <w:t xml:space="preserve">Architekturstil:</w:t>
            </w:r>
            <w:r>
              <w:t xml:space="preserve"> </w:t>
            </w:r>
            <w:r>
              <w:rPr>
                <w:b/>
                <w:bCs/>
              </w:rPr>
              <w:t xml:space="preserve">modularer Monolith</w:t>
            </w:r>
            <w:r>
              <w:t xml:space="preserve"> </w:t>
            </w:r>
            <w:r>
              <w:t xml:space="preserve">als Gradle-Multi-Module-Projekt nach</w:t>
            </w:r>
            <w:r>
              <w:t xml:space="preserve"> </w:t>
            </w:r>
            <w:r>
              <w:rPr>
                <w:b/>
                <w:bCs/>
              </w:rPr>
              <w:t xml:space="preserve">Clean Architecture</w:t>
            </w:r>
            <w:r>
              <w:t xml:space="preserve"> </w:t>
            </w:r>
            <w:r>
              <w:t xml:space="preserve">(Domain → Application → Infrastructure/Adapter, Abhängigkeiten nur einwärts; framework-freie Domäne). Modulübergreifendes</w:t>
            </w:r>
            <w:r>
              <w:t xml:space="preserve"> </w:t>
            </w:r>
            <w:r>
              <w:rPr>
                <w:b/>
                <w:bCs/>
              </w:rPr>
              <w:t xml:space="preserve">Verhalten</w:t>
            </w:r>
            <w:r>
              <w:t xml:space="preserve"> </w:t>
            </w:r>
            <w:r>
              <w:t xml:space="preserve">nur über Application-Layer-Interfaces (Ports &amp; Adapters), keine Events. Stabile</w:t>
            </w:r>
            <w:r>
              <w:t xml:space="preserve"> </w:t>
            </w:r>
            <w:r>
              <w:rPr>
                <w:b/>
                <w:bCs/>
              </w:rPr>
              <w:t xml:space="preserve">Domänen-Wertobjekte</w:t>
            </w:r>
            <w:r>
              <w:t xml:space="preserve"> </w:t>
            </w:r>
            <w:r>
              <w:t xml:space="preserve">(</w:t>
            </w:r>
            <w:r>
              <w:rPr>
                <w:rStyle w:val="VerbatimChar"/>
              </w:rPr>
              <w:t xml:space="preserve">Point</w:t>
            </w:r>
            <w:r>
              <w:t xml:space="preserve">,</w:t>
            </w:r>
            <w:r>
              <w:t xml:space="preserve"> </w:t>
            </w:r>
            <w:r>
              <w:rPr>
                <w:rStyle w:val="VerbatimChar"/>
              </w:rPr>
              <w:t xml:space="preserve">Player</w:t>
            </w:r>
            <w:r>
              <w:t xml:space="preserve">,</w:t>
            </w:r>
            <w:r>
              <w:t xml:space="preserve"> </w:t>
            </w:r>
            <w:r>
              <w:rPr>
                <w:rStyle w:val="VerbatimChar"/>
              </w:rPr>
              <w:t xml:space="preserve">MatchStatistics</w:t>
            </w:r>
            <w:r>
              <w:t xml:space="preserve">) dürfen modulübergreifend als lesendes Modell genutzt werden (ADR-13). Durchsetzung via</w:t>
            </w:r>
            <w:r>
              <w:t xml:space="preserve"> </w:t>
            </w:r>
            <w:r>
              <w:rPr>
                <w:rStyle w:val="VerbatimChar"/>
              </w:rPr>
              <w:t xml:space="preserve">ArchitectureTest</w:t>
            </w:r>
            <w:r>
              <w:t xml:space="preserve">.</w:t>
            </w:r>
          </w:p>
        </w:tc>
      </w:tr>
      <w:tr>
        <w:tc>
          <w:tcPr/>
          <w:p>
            <w:pPr>
              <w:pStyle w:val="Compact"/>
            </w:pPr>
            <w:r>
              <w:t xml:space="preserve">RB-T07</w:t>
            </w:r>
          </w:p>
        </w:tc>
        <w:tc>
          <w:tcPr/>
          <w:p>
            <w:pPr>
              <w:pStyle w:val="Compact"/>
            </w:pPr>
            <w:r>
              <w:t xml:space="preserve">Mailserver: Für die Entwicklung wurde MailHog verwendet, um E-Mail-Verifizierung und Passwort-Recovery zu testen. Für die Produktion muss dies durch einen transaktionalen Maildienst wie Mailgun oder SendGrid ersetzt werden.</w:t>
            </w:r>
          </w:p>
        </w:tc>
      </w:tr>
    </w:tbl>
    <w:bookmarkEnd w:id="14"/>
    <w:bookmarkStart w:id="15" w:name="organisatorische-randbedingungen"/>
    <w:p>
      <w:pPr>
        <w:pStyle w:val="Heading3"/>
      </w:pPr>
      <w:r>
        <w:t xml:space="preserve">2.2 Organisatorische Randbedingungen</w:t>
      </w:r>
    </w:p>
    <w:p>
      <w:pPr>
        <w:pStyle w:val="Compact"/>
        <w:numPr>
          <w:ilvl w:val="0"/>
          <w:numId w:val="1001"/>
        </w:numPr>
      </w:pPr>
      <w:r>
        <w:t xml:space="preserve">Selbsterklärend für Tennisspieler; Tennis-Fachbegriffe erlaubt.</w:t>
      </w:r>
    </w:p>
    <w:p>
      <w:pPr>
        <w:pStyle w:val="Compact"/>
        <w:numPr>
          <w:ilvl w:val="0"/>
          <w:numId w:val="1001"/>
        </w:numPr>
      </w:pPr>
      <w:r>
        <w:t xml:space="preserve">MVP als reine Web-App; native iOS-App in V2.</w:t>
      </w:r>
    </w:p>
    <w:p>
      <w:pPr>
        <w:pStyle w:val="Compact"/>
        <w:numPr>
          <w:ilvl w:val="0"/>
          <w:numId w:val="1001"/>
        </w:numPr>
      </w:pPr>
      <w:r>
        <w:t xml:space="preserve">Keine externen API-Integrationen in V1 (Swisstennis erst ab V4).</w:t>
      </w:r>
    </w:p>
    <w:p>
      <w:r>
        <w:pict>
          <v:rect style="width:0;height:1.5pt" o:hralign="center" o:hrstd="t" o:hr="t"/>
        </w:pict>
      </w:r>
    </w:p>
    <w:bookmarkEnd w:id="15"/>
    <w:bookmarkEnd w:id="16"/>
    <w:bookmarkStart w:id="23" w:name="kontextabgrenzung"/>
    <w:p>
      <w:pPr>
        <w:pStyle w:val="Heading2"/>
      </w:pPr>
      <w:r>
        <w:t xml:space="preserve">3. Kontextabgrenzung</w:t>
      </w:r>
    </w:p>
    <w:bookmarkStart w:id="21" w:name="fachlicher-kontext"/>
    <w:p>
      <w:pPr>
        <w:pStyle w:val="Heading3"/>
      </w:pPr>
      <w:r>
        <w:t xml:space="preserve">3.1 Fachlicher Kontext</w:t>
      </w:r>
    </w:p>
    <w:p>
      <w:pPr>
        <w:pStyle w:val="CaptionedFigure"/>
      </w:pPr>
      <w:r>
        <w:drawing>
          <wp:inline>
            <wp:extent cx="5039999" cy="3063872"/>
            <wp:effectExtent b="0" l="0" r="0" t="0"/>
            <wp:docPr descr="TSaS – Fachlicher Kontext" title="" id="18" name="Picture"/>
            <a:graphic>
              <a:graphicData uri="http://schemas.openxmlformats.org/drawingml/2006/picture">
                <pic:pic>
                  <pic:nvPicPr>
                    <pic:cNvPr descr="Fachlicher_Kontext.png" id="19" name="Picture"/>
                    <pic:cNvPicPr>
                      <a:picLocks noChangeArrowheads="1" noChangeAspect="1"/>
                    </pic:cNvPicPr>
                  </pic:nvPicPr>
                  <pic:blipFill>
                    <a:blip r:embed="rId17"/>
                    <a:stretch>
                      <a:fillRect/>
                    </a:stretch>
                  </pic:blipFill>
                  <pic:spPr bwMode="auto">
                    <a:xfrm>
                      <a:off x="0" y="0"/>
                      <a:ext cx="5039999" cy="3063872"/>
                    </a:xfrm>
                    <a:prstGeom prst="rect">
                      <a:avLst/>
                    </a:prstGeom>
                    <a:noFill/>
                    <a:ln w="9525">
                      <a:noFill/>
                      <a:headEnd/>
                      <a:tailEnd/>
                    </a:ln>
                  </pic:spPr>
                </pic:pic>
              </a:graphicData>
            </a:graphic>
          </wp:inline>
        </w:drawing>
      </w:r>
    </w:p>
    <w:p>
      <w:pPr>
        <w:pStyle w:val="ImageCaption"/>
      </w:pPr>
      <w:r>
        <w:t xml:space="preserve">TSaS – Fachlicher Kontext</w:t>
      </w:r>
    </w:p>
    <w:p>
      <w:pPr>
        <w:pStyle w:val="BodyText"/>
      </w:pPr>
      <w:r>
        <w:rPr>
          <w:i/>
          <w:iCs/>
        </w:rPr>
        <w:t xml:space="preserve">Quelle:</w:t>
      </w:r>
      <w:r>
        <w:rPr>
          <w:i/>
          <w:iCs/>
        </w:rPr>
        <w:t xml:space="preserve"> </w:t>
      </w:r>
      <w:hyperlink r:id="rId20">
        <w:r>
          <w:rPr>
            <w:rStyle w:val="VerbatimChar"/>
            <w:i/>
            <w:iCs/>
          </w:rPr>
          <w:t xml:space="preserve">diagrams/TSaS_Fachlicher_Kontext.drawio</w:t>
        </w:r>
      </w:hyperlink>
    </w:p>
    <w:tbl>
      <w:tblPr>
        <w:tblStyle w:val="Table"/>
        <w:tblW w:type="pct" w:w="5000"/>
        <w:tblLayout w:type="fixed"/>
        <w:tblLook w:firstRow="1" w:lastRow="0" w:firstColumn="0" w:lastColumn="0" w:noHBand="0" w:noVBand="0" w:val="0020"/>
      </w:tblPr>
      <w:tblGrid>
        <w:gridCol w:w="4369"/>
        <w:gridCol w:w="3550"/>
      </w:tblGrid>
      <w:tr>
        <w:trPr>
          <w:tblHeader w:val="on"/>
        </w:trPr>
        <w:tc>
          <w:tcPr/>
          <w:p>
            <w:pPr>
              <w:pStyle w:val="Compact"/>
            </w:pPr>
            <w:r>
              <w:t xml:space="preserve">Akteur / System</w:t>
            </w:r>
          </w:p>
        </w:tc>
        <w:tc>
          <w:tcPr/>
          <w:p>
            <w:pPr>
              <w:pStyle w:val="Compact"/>
            </w:pPr>
            <w:r>
              <w:t xml:space="preserve">Beschreibung</w:t>
            </w:r>
          </w:p>
        </w:tc>
      </w:tr>
      <w:tr>
        <w:tc>
          <w:tcPr/>
          <w:p>
            <w:pPr>
              <w:pStyle w:val="Compact"/>
            </w:pPr>
            <w:r>
              <w:t xml:space="preserve">Trainer / Eltern</w:t>
            </w:r>
          </w:p>
        </w:tc>
        <w:tc>
          <w:tcPr/>
          <w:p>
            <w:pPr>
              <w:pStyle w:val="Compact"/>
            </w:pPr>
            <w:r>
              <w:t xml:space="preserve">Erfassen Spielstände, rufen Statistiken ab, verwalten Spielerprofile.</w:t>
            </w:r>
          </w:p>
        </w:tc>
      </w:tr>
      <w:tr>
        <w:tc>
          <w:tcPr/>
          <w:p>
            <w:pPr>
              <w:pStyle w:val="Compact"/>
            </w:pPr>
            <w:r>
              <w:t xml:space="preserve">Keycloak (IDP)</w:t>
            </w:r>
          </w:p>
        </w:tc>
        <w:tc>
          <w:tcPr/>
          <w:p>
            <w:pPr>
              <w:pStyle w:val="Compact"/>
            </w:pPr>
            <w:r>
              <w:t xml:space="preserve">Authentifizierung/Autorisierung via OAuth2/OIDC; ab V2 zusätzlich Google als federated IDP.</w:t>
            </w:r>
          </w:p>
        </w:tc>
      </w:tr>
      <w:tr>
        <w:tc>
          <w:tcPr/>
          <w:p>
            <w:pPr>
              <w:pStyle w:val="Compact"/>
            </w:pPr>
            <w:r>
              <w:t xml:space="preserve">Swisstennis API (V4+)</w:t>
            </w:r>
          </w:p>
        </w:tc>
        <w:tc>
          <w:tcPr/>
          <w:p>
            <w:pPr>
              <w:pStyle w:val="Compact"/>
            </w:pPr>
            <w:r>
              <w:t xml:space="preserve">Zukünftiger Abruf offizieller Spieler-/Turnierdaten.</w:t>
            </w:r>
          </w:p>
        </w:tc>
      </w:tr>
      <w:tr>
        <w:tc>
          <w:tcPr/>
          <w:p>
            <w:pPr>
              <w:pStyle w:val="Compact"/>
            </w:pPr>
            <w:r>
              <w:t xml:space="preserve">Kamera-System (V5+)</w:t>
            </w:r>
          </w:p>
        </w:tc>
        <w:tc>
          <w:tcPr/>
          <w:p>
            <w:pPr>
              <w:pStyle w:val="Compact"/>
            </w:pPr>
            <w:r>
              <w:t xml:space="preserve">Automatische Erfassung von Aufsprungpunkten („Hawk Eye very light”).</w:t>
            </w:r>
          </w:p>
        </w:tc>
      </w:tr>
    </w:tbl>
    <w:bookmarkEnd w:id="21"/>
    <w:bookmarkStart w:id="22" w:name="technischer-kontext"/>
    <w:p>
      <w:pPr>
        <w:pStyle w:val="Heading3"/>
      </w:pPr>
      <w:r>
        <w:t xml:space="preserve">3.2 Technischer Kontext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Schnittstelle</w:t>
            </w:r>
          </w:p>
        </w:tc>
        <w:tc>
          <w:tcPr/>
          <w:p>
            <w:pPr>
              <w:pStyle w:val="Compact"/>
            </w:pPr>
            <w:r>
              <w:t xml:space="preserve">Protokoll / Technologie</w:t>
            </w:r>
          </w:p>
        </w:tc>
      </w:tr>
      <w:tr>
        <w:tc>
          <w:tcPr/>
          <w:p>
            <w:pPr>
              <w:pStyle w:val="Compact"/>
            </w:pPr>
            <w:r>
              <w:t xml:space="preserve">Browser ↔ Angular-Frontend</w:t>
            </w:r>
          </w:p>
        </w:tc>
        <w:tc>
          <w:tcPr/>
          <w:p>
            <w:pPr>
              <w:pStyle w:val="Compact"/>
            </w:pPr>
            <w:r>
              <w:t xml:space="preserve">HTTPS, Port 443 (4200 in Dev)</w:t>
            </w:r>
          </w:p>
        </w:tc>
      </w:tr>
      <w:tr>
        <w:tc>
          <w:tcPr/>
          <w:p>
            <w:pPr>
              <w:pStyle w:val="Compact"/>
            </w:pPr>
            <w:r>
              <w:t xml:space="preserve">Frontend ↔ Spring Boot API</w:t>
            </w:r>
          </w:p>
        </w:tc>
        <w:tc>
          <w:tcPr/>
          <w:p>
            <w:pPr>
              <w:pStyle w:val="Compact"/>
            </w:pPr>
            <w:r>
              <w:t xml:space="preserve">REST/JSON über HTTPS, Port 8080</w:t>
            </w:r>
          </w:p>
        </w:tc>
      </w:tr>
      <w:tr>
        <w:tc>
          <w:tcPr/>
          <w:p>
            <w:pPr>
              <w:pStyle w:val="Compact"/>
            </w:pPr>
            <w:r>
              <w:t xml:space="preserve">API ↔ PostgreSQL</w:t>
            </w:r>
          </w:p>
        </w:tc>
        <w:tc>
          <w:tcPr/>
          <w:p>
            <w:pPr>
              <w:pStyle w:val="Compact"/>
            </w:pPr>
            <w:r>
              <w:t xml:space="preserve">JDBC/TCP, Port 5432</w:t>
            </w:r>
          </w:p>
        </w:tc>
      </w:tr>
      <w:tr>
        <w:tc>
          <w:tcPr/>
          <w:p>
            <w:pPr>
              <w:pStyle w:val="Compact"/>
            </w:pPr>
            <w:r>
              <w:t xml:space="preserve">API ↔ Keycloak</w:t>
            </w:r>
          </w:p>
        </w:tc>
        <w:tc>
          <w:tcPr/>
          <w:p>
            <w:pPr>
              <w:pStyle w:val="Compact"/>
            </w:pPr>
            <w:r>
              <w:t xml:space="preserve">OAuth2/OIDC, HTTPS, Port 8443</w:t>
            </w:r>
          </w:p>
        </w:tc>
      </w:tr>
      <w:tr>
        <w:tc>
          <w:tcPr/>
          <w:p>
            <w:pPr>
              <w:pStyle w:val="Compact"/>
            </w:pPr>
            <w:r>
              <w:t xml:space="preserve">Mailhog ↔ Keycloak</w:t>
            </w:r>
          </w:p>
        </w:tc>
        <w:tc>
          <w:tcPr/>
          <w:p>
            <w:pPr>
              <w:pStyle w:val="Compact"/>
            </w:pPr>
            <w:r>
              <w:t xml:space="preserve">SMTP Port 1025 (Web-UI :8025)</w:t>
            </w:r>
          </w:p>
        </w:tc>
      </w:tr>
    </w:tbl>
    <w:p>
      <w:pPr>
        <w:pStyle w:val="BodyText"/>
      </w:pPr>
      <w:r>
        <w:rPr>
          <w:b/>
          <w:bCs/>
        </w:rPr>
        <w:t xml:space="preserve">OpenAPI-Vertrag:</w:t>
      </w:r>
      <w:r>
        <w:t xml:space="preserve"> </w:t>
      </w:r>
      <w:r>
        <w:t xml:space="preserve">* Maschinenlesbar unter</w:t>
      </w:r>
      <w:r>
        <w:t xml:space="preserve"> </w:t>
      </w:r>
      <w:r>
        <w:rPr>
          <w:rStyle w:val="VerbatimChar"/>
        </w:rPr>
        <w:t xml:space="preserve">GET /v3/api-docs</w:t>
      </w:r>
      <w:r>
        <w:t xml:space="preserve"> </w:t>
      </w:r>
      <w:r>
        <w:t xml:space="preserve">(OpenAPI 3.x)</w:t>
      </w:r>
      <w:r>
        <w:t xml:space="preserve"> </w:t>
      </w:r>
      <w:r>
        <w:t xml:space="preserve">* Menschenlesbar unter</w:t>
      </w:r>
      <w:r>
        <w:t xml:space="preserve"> </w:t>
      </w:r>
      <w:r>
        <w:rPr>
          <w:rStyle w:val="VerbatimChar"/>
        </w:rPr>
        <w:t xml:space="preserve">GET /swagger-ui.html</w:t>
      </w:r>
      <w:r>
        <w:t xml:space="preserve">.</w:t>
      </w:r>
      <w:r>
        <w:t xml:space="preserve"> </w:t>
      </w:r>
      <w:r>
        <w:t xml:space="preserve">* Die Doc-Pfade sind</w:t>
      </w:r>
      <w:r>
        <w:t xml:space="preserve"> </w:t>
      </w:r>
      <w:r>
        <w:rPr>
          <w:rStyle w:val="VerbatimChar"/>
        </w:rPr>
        <w:t xml:space="preserve">permitAll()</w:t>
      </w:r>
      <w:r>
        <w:t xml:space="preserve">, die Operationen per Bearer-JWT geschützt (Scheme</w:t>
      </w:r>
      <w:r>
        <w:t xml:space="preserve"> </w:t>
      </w:r>
      <w:r>
        <w:rPr>
          <w:rStyle w:val="VerbatimChar"/>
        </w:rPr>
        <w:t xml:space="preserve">bearer-jwt</w:t>
      </w:r>
      <w:r>
        <w:t xml:space="preserve">).</w:t>
      </w:r>
    </w:p>
    <w:p>
      <w:r>
        <w:pict>
          <v:rect style="width:0;height:1.5pt" o:hralign="center" o:hrstd="t" o:hr="t"/>
        </w:pict>
      </w:r>
    </w:p>
    <w:bookmarkEnd w:id="22"/>
    <w:bookmarkEnd w:id="23"/>
    <w:bookmarkStart w:id="27" w:name="lösungsstrategie"/>
    <w:p>
      <w:pPr>
        <w:pStyle w:val="Heading2"/>
      </w:pPr>
      <w:r>
        <w:t xml:space="preserve">4. Lösungsstrategie</w:t>
      </w:r>
    </w:p>
    <w:bookmarkStart w:id="24" w:name="architekturansatz-modularer-monolith"/>
    <w:p>
      <w:pPr>
        <w:pStyle w:val="Heading3"/>
      </w:pPr>
      <w:r>
        <w:t xml:space="preserve">4.1 Architekturansatz: Modularer Monolith</w:t>
      </w:r>
    </w:p>
    <w:p>
      <w:pPr>
        <w:pStyle w:val="FirstParagraph"/>
      </w:pPr>
      <w:r>
        <w:t xml:space="preserve">Das Backend der Applikation wird für V1 als modularer Monolith implementiert da der Umfang noch zu gering ist, um die zusätzliche</w:t>
      </w:r>
      <w:r>
        <w:t xml:space="preserve"> </w:t>
      </w:r>
      <w:r>
        <w:t xml:space="preserve">Komplexität einer Micorservice Architektur zu rechtfertigen. Ein modularer Monolith vereinfacht das Deployment, die Fehlerbehandlung und Recovery,</w:t>
      </w:r>
      <w:r>
        <w:t xml:space="preserve"> </w:t>
      </w:r>
      <w:r>
        <w:t xml:space="preserve">wenn ein Service nicht verfügbar ist. Die interne Modularität erlaubt ein späteres Aufteilen in Services. Das Port-und-Adapter pattern erlaubt es, ein</w:t>
      </w:r>
      <w:r>
        <w:t xml:space="preserve"> </w:t>
      </w:r>
      <w:r>
        <w:t xml:space="preserve">anderes Kommunikationsprotokoll zu implementieren ohne die Businesslogik zu änderen. Fürs Live Coaching in V2 wäre ein asynchroner Ablauf denkbar.</w:t>
      </w:r>
    </w:p>
    <w:bookmarkEnd w:id="24"/>
    <w:bookmarkStart w:id="25" w:name="technologieentscheidungen"/>
    <w:p>
      <w:pPr>
        <w:pStyle w:val="Heading3"/>
      </w:pPr>
      <w:r>
        <w:t xml:space="preserve">4.2 Technologieentscheidungen</w:t>
      </w:r>
    </w:p>
    <w:tbl>
      <w:tblPr>
        <w:tblStyle w:val="Table"/>
        <w:tblW w:type="pct" w:w="5000"/>
        <w:tblLayout w:type="fixed"/>
        <w:tblLook w:firstRow="1" w:lastRow="0" w:firstColumn="0" w:lastColumn="0" w:noHBand="0" w:noVBand="0" w:val="0020"/>
      </w:tblPr>
      <w:tblGrid>
        <w:gridCol w:w="2096"/>
        <w:gridCol w:w="3028"/>
        <w:gridCol w:w="2795"/>
      </w:tblGrid>
      <w:tr>
        <w:trPr>
          <w:tblHeader w:val="on"/>
        </w:trPr>
        <w:tc>
          <w:tcPr/>
          <w:p>
            <w:pPr>
              <w:pStyle w:val="Compact"/>
            </w:pPr>
            <w:r>
              <w:t xml:space="preserve">Bereich</w:t>
            </w:r>
          </w:p>
        </w:tc>
        <w:tc>
          <w:tcPr/>
          <w:p>
            <w:pPr>
              <w:pStyle w:val="Compact"/>
            </w:pPr>
            <w:r>
              <w:t xml:space="preserve">Technologie</w:t>
            </w:r>
          </w:p>
        </w:tc>
        <w:tc>
          <w:tcPr/>
          <w:p>
            <w:pPr>
              <w:pStyle w:val="Compact"/>
            </w:pPr>
            <w:r>
              <w:t xml:space="preserve">Begründung</w:t>
            </w:r>
          </w:p>
        </w:tc>
      </w:tr>
      <w:tr>
        <w:tc>
          <w:tcPr/>
          <w:p>
            <w:pPr>
              <w:pStyle w:val="Compact"/>
            </w:pPr>
            <w:r>
              <w:t xml:space="preserve">Backend</w:t>
            </w:r>
          </w:p>
        </w:tc>
        <w:tc>
          <w:tcPr/>
          <w:p>
            <w:pPr>
              <w:pStyle w:val="Compact"/>
            </w:pPr>
            <w:r>
              <w:t xml:space="preserve">Java 25, Spring Boot 4, Gradle Multi-Module</w:t>
            </w:r>
          </w:p>
        </w:tc>
        <w:tc>
          <w:tcPr/>
          <w:p>
            <w:pPr>
              <w:pStyle w:val="Compact"/>
            </w:pPr>
            <w:r>
              <w:t xml:space="preserve">Etabliertes Ökosystem; klare Modulgrenzen mit Compile-Zeit-Abhängigkeiten; synchrone Modul-Kommunikation über Interfaces.</w:t>
            </w:r>
          </w:p>
        </w:tc>
      </w:tr>
      <w:tr>
        <w:tc>
          <w:tcPr/>
          <w:p>
            <w:pPr>
              <w:pStyle w:val="Compact"/>
            </w:pPr>
            <w:r>
              <w:t xml:space="preserve">Frontend</w:t>
            </w:r>
          </w:p>
        </w:tc>
        <w:tc>
          <w:tcPr/>
          <w:p>
            <w:pPr>
              <w:pStyle w:val="Compact"/>
            </w:pPr>
            <w:r>
              <w:t xml:space="preserve">Angular, Angular Material, ngx-charts</w:t>
            </w:r>
          </w:p>
        </w:tc>
        <w:tc>
          <w:tcPr/>
          <w:p>
            <w:pPr>
              <w:pStyle w:val="Compact"/>
            </w:pPr>
            <w:r>
              <w:t xml:space="preserve">Typsicher, komponentenbasiert; touch-optimierte UI für Punkterfassung; ngx-charts für Statistik-Visualisierung.</w:t>
            </w:r>
          </w:p>
        </w:tc>
      </w:tr>
      <w:tr>
        <w:tc>
          <w:tcPr/>
          <w:p>
            <w:pPr>
              <w:pStyle w:val="Compact"/>
            </w:pPr>
            <w:r>
              <w:t xml:space="preserve">Datenbank</w:t>
            </w:r>
          </w:p>
        </w:tc>
        <w:tc>
          <w:tcPr/>
          <w:p>
            <w:pPr>
              <w:pStyle w:val="Compact"/>
            </w:pPr>
            <w:r>
              <w:t xml:space="preserve">PostgreSQL</w:t>
            </w:r>
          </w:p>
        </w:tc>
        <w:tc>
          <w:tcPr/>
          <w:p>
            <w:pPr>
              <w:pStyle w:val="Compact"/>
            </w:pPr>
            <w:r>
              <w:t xml:space="preserve">Verbreitet, Open Source, gute relationale Unterstützung.</w:t>
            </w:r>
          </w:p>
        </w:tc>
      </w:tr>
      <w:tr>
        <w:tc>
          <w:tcPr/>
          <w:p>
            <w:pPr>
              <w:pStyle w:val="Compact"/>
            </w:pPr>
            <w:r>
              <w:t xml:space="preserve">Security</w:t>
            </w:r>
          </w:p>
        </w:tc>
        <w:tc>
          <w:tcPr/>
          <w:p>
            <w:pPr>
              <w:pStyle w:val="Compact"/>
            </w:pPr>
            <w:r>
              <w:t xml:space="preserve">Keycloak</w:t>
            </w:r>
          </w:p>
        </w:tc>
        <w:tc>
          <w:tcPr/>
          <w:p>
            <w:pPr>
              <w:pStyle w:val="Compact"/>
            </w:pPr>
            <w:r>
              <w:t xml:space="preserve">Standard für OIDC/OAuth2; federated IDPs (Google) einbettbar.</w:t>
            </w:r>
          </w:p>
        </w:tc>
      </w:tr>
      <w:tr>
        <w:tc>
          <w:tcPr/>
          <w:p>
            <w:pPr>
              <w:pStyle w:val="Compact"/>
            </w:pPr>
            <w:r>
              <w:t xml:space="preserve">Deployment</w:t>
            </w:r>
          </w:p>
        </w:tc>
        <w:tc>
          <w:tcPr/>
          <w:p>
            <w:pPr>
              <w:pStyle w:val="Compact"/>
            </w:pPr>
            <w:r>
              <w:t xml:space="preserve">Docker / Compose</w:t>
            </w:r>
          </w:p>
        </w:tc>
        <w:tc>
          <w:tcPr/>
          <w:p>
            <w:pPr>
              <w:pStyle w:val="Compact"/>
            </w:pPr>
            <w:r>
              <w:t xml:space="preserve">Konsistente Umgebung über Dev, Test, Prod.</w:t>
            </w:r>
          </w:p>
        </w:tc>
      </w:tr>
      <w:tr>
        <w:tc>
          <w:tcPr/>
          <w:p>
            <w:pPr>
              <w:pStyle w:val="Compact"/>
            </w:pPr>
            <w:r>
              <w:t xml:space="preserve">KI / LLM</w:t>
            </w:r>
          </w:p>
        </w:tc>
        <w:tc>
          <w:tcPr/>
          <w:p>
            <w:pPr>
              <w:pStyle w:val="Compact"/>
            </w:pPr>
            <w:r>
              <w:t xml:space="preserve">Spring AI 2.0.x mit OpenAI (</w:t>
            </w:r>
            <w:r>
              <w:rPr>
                <w:rStyle w:val="VerbatimChar"/>
              </w:rPr>
              <w:t xml:space="preserve">gpt-4o-mini</w:t>
            </w:r>
            <w:r>
              <w:t xml:space="preserve"> </w:t>
            </w:r>
            <w:r>
              <w:t xml:space="preserve">Default)</w:t>
            </w:r>
          </w:p>
        </w:tc>
        <w:tc>
          <w:tcPr/>
          <w:p>
            <w:pPr>
              <w:pStyle w:val="Compact"/>
            </w:pPr>
            <w:r>
              <w:t xml:space="preserve">Boot-4-kompatibel;</w:t>
            </w:r>
            <w:r>
              <w:t xml:space="preserve"> </w:t>
            </w:r>
            <w:r>
              <w:rPr>
                <w:rStyle w:val="VerbatimChar"/>
              </w:rPr>
              <w:t xml:space="preserve">ChatClient</w:t>
            </w:r>
            <w:r>
              <w:t xml:space="preserve"> </w:t>
            </w:r>
            <w:r>
              <w:t xml:space="preserve">mit strukturiertem JSON-Output (BeanOutputConverter). Der</w:t>
            </w:r>
            <w:r>
              <w:t xml:space="preserve"> </w:t>
            </w:r>
            <w:r>
              <w:rPr>
                <w:rStyle w:val="VerbatimChar"/>
              </w:rPr>
              <w:t xml:space="preserve">LlmClientPort</w:t>
            </w:r>
            <w:r>
              <w:t xml:space="preserve"> </w:t>
            </w:r>
            <w:r>
              <w:t xml:space="preserve">erlaubt späteren Wechsel auf Anthropic/Ollama ohne Use-Case-Refactoring. Coach-Notizen (</w:t>
            </w:r>
            <w:r>
              <w:rPr>
                <w:rStyle w:val="VerbatimChar"/>
              </w:rPr>
              <w:t xml:space="preserve">match_player_notes</w:t>
            </w:r>
            <w:r>
              <w:t xml:space="preserve">, FA-22) werden im</w:t>
            </w:r>
            <w:r>
              <w:t xml:space="preserve"> </w:t>
            </w:r>
            <w:r>
              <w:rPr>
                <w:rStyle w:val="VerbatimChar"/>
              </w:rPr>
              <w:t xml:space="preserve">PromptBuilder</w:t>
            </w:r>
            <w:r>
              <w:t xml:space="preserve"> </w:t>
            </w:r>
            <w:r>
              <w:t xml:space="preserve">injiziert — ins Postmortem die Match-Notizen, in die Gegner-Vorbereitung die Notizen über den Gegner aus abgeschlossenen Matches.</w:t>
            </w:r>
          </w:p>
        </w:tc>
      </w:tr>
    </w:tbl>
    <w:bookmarkEnd w:id="25"/>
    <w:bookmarkStart w:id="26" w:name="release-planung"/>
    <w:p>
      <w:pPr>
        <w:pStyle w:val="Heading3"/>
      </w:pPr>
      <w:r>
        <w:t xml:space="preserve">4.3 Release-Planung</w:t>
      </w:r>
    </w:p>
    <w:tbl>
      <w:tblPr>
        <w:tblStyle w:val="Table"/>
        <w:tblW w:type="pct" w:w="5000"/>
        <w:tblLayout w:type="fixed"/>
        <w:tblLook w:firstRow="1" w:lastRow="0" w:firstColumn="0" w:lastColumn="0" w:noHBand="0" w:noVBand="0" w:val="0020"/>
      </w:tblPr>
      <w:tblGrid>
        <w:gridCol w:w="2640"/>
        <w:gridCol w:w="5280"/>
      </w:tblGrid>
      <w:tr>
        <w:trPr>
          <w:tblHeader w:val="on"/>
        </w:trPr>
        <w:tc>
          <w:tcPr/>
          <w:p>
            <w:pPr>
              <w:pStyle w:val="Compact"/>
            </w:pPr>
            <w:r>
              <w:t xml:space="preserve">Version</w:t>
            </w:r>
          </w:p>
        </w:tc>
        <w:tc>
          <w:tcPr/>
          <w:p>
            <w:pPr>
              <w:pStyle w:val="Compact"/>
            </w:pPr>
            <w:r>
              <w:t xml:space="preserve">Umfang</w:t>
            </w:r>
          </w:p>
        </w:tc>
      </w:tr>
      <w:tr>
        <w:tc>
          <w:tcPr/>
          <w:p>
            <w:pPr>
              <w:pStyle w:val="Compact"/>
            </w:pPr>
            <w:r>
              <w:t xml:space="preserve">V1 (MVP)</w:t>
            </w:r>
          </w:p>
        </w:tc>
        <w:tc>
          <w:tcPr/>
          <w:p>
            <w:pPr>
              <w:pStyle w:val="Compact"/>
            </w:pPr>
            <w:r>
              <w:t xml:space="preserve">Web-App: Punkterfassung, Spielerverwaltung, Basis-Statistiken (Head-to-Head, Winner%, Serve%), Registrierung/Login via Keycloak. KI-Postmortem: strukturierte taktische Auswertung nach Match-Ende (Schlüsselmomente, Stärken/Schwächen, 3–5 Empfehlungen).</w:t>
            </w:r>
          </w:p>
        </w:tc>
      </w:tr>
      <w:tr>
        <w:tc>
          <w:tcPr/>
          <w:p>
            <w:pPr>
              <w:pStyle w:val="Compact"/>
            </w:pPr>
            <w:r>
              <w:t xml:space="preserve">V2</w:t>
            </w:r>
          </w:p>
        </w:tc>
        <w:tc>
          <w:tcPr/>
          <w:p>
            <w:pPr>
              <w:pStyle w:val="Compact"/>
            </w:pPr>
            <w:r>
              <w:t xml:space="preserve">Google als federated IDP, erweiterte Statistiken, natives iOS-Frontend (Swift), KI-Live-Coaching, KI-Gegner-Vorbereitung (Head-to-Head).</w:t>
            </w:r>
          </w:p>
        </w:tc>
      </w:tr>
      <w:tr>
        <w:tc>
          <w:tcPr/>
          <w:p>
            <w:pPr>
              <w:pStyle w:val="Compact"/>
            </w:pPr>
            <w:r>
              <w:t xml:space="preserve">V3</w:t>
            </w:r>
          </w:p>
        </w:tc>
        <w:tc>
          <w:tcPr/>
          <w:p>
            <w:pPr>
              <w:pStyle w:val="Compact"/>
            </w:pPr>
            <w:r>
              <w:t xml:space="preserve">Aufsprungpunkte via Touch auf skizziertem Feld.</w:t>
            </w:r>
          </w:p>
        </w:tc>
      </w:tr>
      <w:tr>
        <w:tc>
          <w:tcPr/>
          <w:p>
            <w:pPr>
              <w:pStyle w:val="Compact"/>
            </w:pPr>
            <w:r>
              <w:t xml:space="preserve">V4</w:t>
            </w:r>
          </w:p>
        </w:tc>
        <w:tc>
          <w:tcPr/>
          <w:p>
            <w:pPr>
              <w:pStyle w:val="Compact"/>
            </w:pPr>
            <w:r>
              <w:t xml:space="preserve">Swisstennis-API-Integration (falls möglich).</w:t>
            </w:r>
          </w:p>
        </w:tc>
      </w:tr>
      <w:tr>
        <w:tc>
          <w:tcPr/>
          <w:p>
            <w:pPr>
              <w:pStyle w:val="Compact"/>
            </w:pPr>
            <w:r>
              <w:t xml:space="preserve">V5</w:t>
            </w:r>
          </w:p>
        </w:tc>
        <w:tc>
          <w:tcPr/>
          <w:p>
            <w:pPr>
              <w:pStyle w:val="Compact"/>
            </w:pPr>
            <w:r>
              <w:t xml:space="preserve">Kameraanbindung für automatische Aufsprungpunkt-Erfassung.</w:t>
            </w:r>
          </w:p>
        </w:tc>
      </w:tr>
    </w:tbl>
    <w:p>
      <w:r>
        <w:pict>
          <v:rect style="width:0;height:1.5pt" o:hralign="center" o:hrstd="t" o:hr="t"/>
        </w:pict>
      </w:r>
    </w:p>
    <w:bookmarkEnd w:id="26"/>
    <w:bookmarkEnd w:id="27"/>
    <w:bookmarkStart w:id="43" w:name="bausteinsicht"/>
    <w:p>
      <w:pPr>
        <w:pStyle w:val="Heading2"/>
      </w:pPr>
      <w:r>
        <w:t xml:space="preserve">5. Bausteinsicht</w:t>
      </w:r>
    </w:p>
    <w:bookmarkStart w:id="32" w:name="whitebox-gesamtsystem"/>
    <w:p>
      <w:pPr>
        <w:pStyle w:val="Heading3"/>
      </w:pPr>
      <w:r>
        <w:t xml:space="preserve">5.1 Whitebox Gesamtsystem</w:t>
      </w:r>
    </w:p>
    <w:p>
      <w:pPr>
        <w:pStyle w:val="CaptionedFigure"/>
      </w:pPr>
      <w:r>
        <w:drawing>
          <wp:inline>
            <wp:extent cx="5334000" cy="2618344"/>
            <wp:effectExtent b="0" l="0" r="0" t="0"/>
            <wp:docPr descr="TSaS – Whitebox Gesamtsystem" title="" id="29" name="Picture"/>
            <a:graphic>
              <a:graphicData uri="http://schemas.openxmlformats.org/drawingml/2006/picture">
                <pic:pic>
                  <pic:nvPicPr>
                    <pic:cNvPr descr="Whitebox_Gesamtsystem.png" id="30" name="Picture"/>
                    <pic:cNvPicPr>
                      <a:picLocks noChangeArrowheads="1" noChangeAspect="1"/>
                    </pic:cNvPicPr>
                  </pic:nvPicPr>
                  <pic:blipFill>
                    <a:blip r:embed="rId28"/>
                    <a:stretch>
                      <a:fillRect/>
                    </a:stretch>
                  </pic:blipFill>
                  <pic:spPr bwMode="auto">
                    <a:xfrm>
                      <a:off x="0" y="0"/>
                      <a:ext cx="5334000" cy="2618344"/>
                    </a:xfrm>
                    <a:prstGeom prst="rect">
                      <a:avLst/>
                    </a:prstGeom>
                    <a:noFill/>
                    <a:ln w="9525">
                      <a:noFill/>
                      <a:headEnd/>
                      <a:tailEnd/>
                    </a:ln>
                  </pic:spPr>
                </pic:pic>
              </a:graphicData>
            </a:graphic>
          </wp:inline>
        </w:drawing>
      </w:r>
    </w:p>
    <w:p>
      <w:pPr>
        <w:pStyle w:val="ImageCaption"/>
      </w:pPr>
      <w:r>
        <w:t xml:space="preserve">TSaS – Whitebox Gesamtsystem</w:t>
      </w:r>
    </w:p>
    <w:p>
      <w:pPr>
        <w:pStyle w:val="BodyText"/>
      </w:pPr>
      <w:r>
        <w:rPr>
          <w:i/>
          <w:iCs/>
        </w:rPr>
        <w:t xml:space="preserve">Quelle:</w:t>
      </w:r>
      <w:r>
        <w:rPr>
          <w:i/>
          <w:iCs/>
        </w:rPr>
        <w:t xml:space="preserve"> </w:t>
      </w:r>
      <w:hyperlink r:id="rId31">
        <w:r>
          <w:rPr>
            <w:rStyle w:val="VerbatimChar"/>
            <w:i/>
            <w:iCs/>
          </w:rPr>
          <w:t xml:space="preserve">diagrams/TSaS_Whitebox_Gesamtsystem.drawio</w:t>
        </w:r>
      </w:hyperlink>
    </w:p>
    <w:bookmarkEnd w:id="32"/>
    <w:bookmarkStart w:id="37" w:name="backend-module-modularer-monolith"/>
    <w:p>
      <w:pPr>
        <w:pStyle w:val="Heading3"/>
      </w:pPr>
      <w:r>
        <w:t xml:space="preserve">5.2 Backend-Module (Modularer Monolith)</w:t>
      </w:r>
    </w:p>
    <w:p>
      <w:pPr>
        <w:pStyle w:val="FirstParagraph"/>
      </w:pPr>
      <w:r>
        <w:t xml:space="preserve">Jedes Modul kapselt Domänenlogik, Repositories und REST-Endpunkte.</w:t>
      </w:r>
    </w:p>
    <w:tbl>
      <w:tblPr>
        <w:tblStyle w:val="Table"/>
        <w:tblW w:type="pct" w:w="5000"/>
        <w:tblLayout w:type="fixed"/>
        <w:tblLook w:firstRow="1" w:lastRow="0" w:firstColumn="0" w:lastColumn="0" w:noHBand="0" w:noVBand="0" w:val="0020"/>
      </w:tblPr>
      <w:tblGrid>
        <w:gridCol w:w="195"/>
        <w:gridCol w:w="7724"/>
      </w:tblGrid>
      <w:tr>
        <w:trPr>
          <w:tblHeader w:val="on"/>
        </w:trPr>
        <w:tc>
          <w:tcPr/>
          <w:p>
            <w:pPr>
              <w:pStyle w:val="Compact"/>
            </w:pPr>
            <w:r>
              <w:t xml:space="preserve">Modul</w:t>
            </w:r>
          </w:p>
        </w:tc>
        <w:tc>
          <w:tcPr/>
          <w:p>
            <w:pPr>
              <w:pStyle w:val="Compact"/>
            </w:pPr>
            <w:r>
              <w:t xml:space="preserve">Verantwortlichkeit</w:t>
            </w:r>
          </w:p>
        </w:tc>
      </w:tr>
      <w:tr>
        <w:tc>
          <w:tcPr/>
          <w:p>
            <w:pPr>
              <w:pStyle w:val="Compact"/>
            </w:pPr>
            <w:r>
              <w:rPr>
                <w:rStyle w:val="VerbatimChar"/>
              </w:rPr>
              <w:t xml:space="preserve">player-module</w:t>
            </w:r>
          </w:p>
        </w:tc>
        <w:tc>
          <w:tcPr/>
          <w:p>
            <w:pPr>
              <w:pStyle w:val="Compact"/>
            </w:pPr>
            <w:r>
              <w:t xml:space="preserve">Spielerprofile (Name, Geschlecht, Ranking, Spielhand, Backhand-Typ); CRUD + Suche.</w:t>
            </w:r>
          </w:p>
        </w:tc>
      </w:tr>
      <w:tr>
        <w:tc>
          <w:tcPr/>
          <w:p>
            <w:pPr>
              <w:pStyle w:val="Compact"/>
            </w:pPr>
            <w:r>
              <w:rPr>
                <w:rStyle w:val="VerbatimChar"/>
              </w:rPr>
              <w:t xml:space="preserve">match-module</w:t>
            </w:r>
          </w:p>
        </w:tc>
        <w:tc>
          <w:tcPr/>
          <w:p>
            <w:pPr>
              <w:pStyle w:val="Compact"/>
            </w:pPr>
            <w:r>
              <w:t xml:space="preserve">Matches mit Format (Gewinnsätze, Match-Tiebreak, Short Set), Sets/Spiele.</w:t>
            </w:r>
            <w:r>
              <w:t xml:space="preserve"> </w:t>
            </w:r>
            <w:r>
              <w:rPr>
                <w:b/>
                <w:bCs/>
              </w:rPr>
              <w:t xml:space="preserve">Umfasst Scoring</w:t>
            </w:r>
            <w:r>
              <w:t xml:space="preserve"> </w:t>
            </w:r>
            <w:r>
              <w:t xml:space="preserve">(</w:t>
            </w:r>
            <w:r>
              <w:rPr>
                <w:rStyle w:val="VerbatimChar"/>
              </w:rPr>
              <w:t xml:space="preserve">ScoringService</w:t>
            </w:r>
            <w:r>
              <w:t xml:space="preserve">) sowie</w:t>
            </w:r>
            <w:r>
              <w:t xml:space="preserve"> </w:t>
            </w:r>
            <w:r>
              <w:rPr>
                <w:b/>
                <w:bCs/>
              </w:rPr>
              <w:t xml:space="preserve">Coach-Freitext-Notizen je Spieler</w:t>
            </w:r>
            <w:r>
              <w:t xml:space="preserve">, FA-22). Das früher separate</w:t>
            </w:r>
            <w:r>
              <w:t xml:space="preserve"> </w:t>
            </w:r>
            <w:r>
              <w:rPr>
                <w:rStyle w:val="VerbatimChar"/>
              </w:rPr>
              <w:t xml:space="preserve">scoring-module</w:t>
            </w:r>
            <w:r>
              <w:t xml:space="preserve"> </w:t>
            </w:r>
            <w:r>
              <w:t xml:space="preserve">ist hier konsolidiert (ADR-12).</w:t>
            </w:r>
          </w:p>
        </w:tc>
      </w:tr>
      <w:tr>
        <w:tc>
          <w:tcPr/>
          <w:p>
            <w:pPr>
              <w:pStyle w:val="Compact"/>
            </w:pPr>
            <w:r>
              <w:rPr>
                <w:rStyle w:val="VerbatimChar"/>
              </w:rPr>
              <w:t xml:space="preserve">statistics-module</w:t>
            </w:r>
          </w:p>
        </w:tc>
        <w:tc>
          <w:tcPr/>
          <w:p>
            <w:pPr>
              <w:pStyle w:val="Compact"/>
            </w:pPr>
            <w:r>
              <w:t xml:space="preserve">Statistiken (Head-to-Head, Winner%, UE%, First/Second Serve%, DF, Aces), on-the-fly aus</w:t>
            </w:r>
            <w:r>
              <w:t xml:space="preserve"> </w:t>
            </w:r>
            <w:r>
              <w:rPr>
                <w:rStyle w:val="VerbatimChar"/>
              </w:rPr>
              <w:t xml:space="preserve">points</w:t>
            </w:r>
            <w:r>
              <w:t xml:space="preserve"> </w:t>
            </w:r>
            <w:r>
              <w:t xml:space="preserve">berechnet. (FA-8 und FA-17).</w:t>
            </w:r>
          </w:p>
        </w:tc>
      </w:tr>
      <w:tr>
        <w:tc>
          <w:tcPr/>
          <w:p>
            <w:pPr>
              <w:pStyle w:val="Compact"/>
            </w:pPr>
            <w:r>
              <w:rPr>
                <w:rStyle w:val="VerbatimChar"/>
              </w:rPr>
              <w:t xml:space="preserve">auth-module</w:t>
            </w:r>
          </w:p>
        </w:tc>
        <w:tc>
          <w:tcPr/>
          <w:p>
            <w:pPr>
              <w:pStyle w:val="Compact"/>
            </w:pPr>
            <w:r>
              <w:t xml:space="preserve">Keycloak-Integration: Token-Validierung, Rollenprüfung, Benutzerverwaltung.</w:t>
            </w:r>
          </w:p>
        </w:tc>
      </w:tr>
      <w:tr>
        <w:tc>
          <w:tcPr/>
          <w:p>
            <w:pPr>
              <w:pStyle w:val="Compact"/>
            </w:pPr>
            <w:r>
              <w:rPr>
                <w:rStyle w:val="VerbatimChar"/>
              </w:rPr>
              <w:t xml:space="preserve">ai-module</w:t>
            </w:r>
          </w:p>
        </w:tc>
        <w:tc>
          <w:tcPr/>
          <w:p>
            <w:pPr>
              <w:pStyle w:val="Compact"/>
            </w:pPr>
            <w:r>
              <w:t xml:space="preserve">KI-Analyse. Konsumiert</w:t>
            </w:r>
            <w:r>
              <w:t xml:space="preserve"> </w:t>
            </w:r>
            <w:r>
              <w:rPr>
                <w:rStyle w:val="VerbatimChar"/>
              </w:rPr>
              <w:t xml:space="preserve">statistics-module</w:t>
            </w:r>
            <w:r>
              <w:t xml:space="preserve">,</w:t>
            </w:r>
            <w:r>
              <w:t xml:space="preserve"> </w:t>
            </w:r>
            <w:r>
              <w:rPr>
                <w:rStyle w:val="VerbatimChar"/>
              </w:rPr>
              <w:t xml:space="preserve">player-module</w:t>
            </w:r>
            <w:r>
              <w:t xml:space="preserve"> </w:t>
            </w:r>
            <w:r>
              <w:t xml:space="preserve">und</w:t>
            </w:r>
            <w:r>
              <w:t xml:space="preserve"> </w:t>
            </w:r>
            <w:r>
              <w:rPr>
                <w:rStyle w:val="VerbatimChar"/>
              </w:rPr>
              <w:t xml:space="preserve">match-module</w:t>
            </w:r>
            <w:r>
              <w:t xml:space="preserve">, ruft via</w:t>
            </w:r>
            <w:r>
              <w:t xml:space="preserve"> </w:t>
            </w:r>
            <w:r>
              <w:rPr>
                <w:rStyle w:val="VerbatimChar"/>
              </w:rPr>
              <w:t xml:space="preserve">LlmClientPort</w:t>
            </w:r>
            <w:r>
              <w:t xml:space="preserve"> </w:t>
            </w:r>
            <w:r>
              <w:t xml:space="preserve">ein LLM und persistiert</w:t>
            </w:r>
            <w:r>
              <w:t xml:space="preserve"> </w:t>
            </w:r>
            <w:r>
              <w:rPr>
                <w:rStyle w:val="VerbatimChar"/>
              </w:rPr>
              <w:t xml:space="preserve">MatchAnalysis</w:t>
            </w:r>
            <w:r>
              <w:t xml:space="preserve"> </w:t>
            </w:r>
            <w:r>
              <w:t xml:space="preserve">(1:1 zum Match).</w:t>
            </w:r>
          </w:p>
        </w:tc>
      </w:tr>
      <w:tr>
        <w:tc>
          <w:tcPr/>
          <w:p>
            <w:pPr>
              <w:pStyle w:val="Compact"/>
            </w:pPr>
            <w:r>
              <w:rPr>
                <w:rStyle w:val="VerbatimChar"/>
              </w:rPr>
              <w:t xml:space="preserve">common-module</w:t>
            </w:r>
          </w:p>
        </w:tc>
        <w:tc>
          <w:tcPr/>
          <w:p>
            <w:pPr>
              <w:pStyle w:val="Compact"/>
            </w:pPr>
            <w:r>
              <w:t xml:space="preserve">Shared Kernel: gemeinsame DTOs, Exceptions, Konfiguration, Utilities.</w:t>
            </w:r>
          </w:p>
        </w:tc>
      </w:tr>
    </w:tbl>
    <w:p>
      <w:pPr>
        <w:pStyle w:val="CaptionedFigure"/>
      </w:pPr>
      <w:r>
        <w:drawing>
          <wp:inline>
            <wp:extent cx="5334000" cy="3387331"/>
            <wp:effectExtent b="0" l="0" r="0" t="0"/>
            <wp:docPr descr="TSaS Backend – Fachliche Module" title="" id="34" name="Picture"/>
            <a:graphic>
              <a:graphicData uri="http://schemas.openxmlformats.org/drawingml/2006/picture">
                <pic:pic>
                  <pic:nvPicPr>
                    <pic:cNvPr descr="Backend_Module.png" id="35" name="Picture"/>
                    <pic:cNvPicPr>
                      <a:picLocks noChangeArrowheads="1" noChangeAspect="1"/>
                    </pic:cNvPicPr>
                  </pic:nvPicPr>
                  <pic:blipFill>
                    <a:blip r:embed="rId33"/>
                    <a:stretch>
                      <a:fillRect/>
                    </a:stretch>
                  </pic:blipFill>
                  <pic:spPr bwMode="auto">
                    <a:xfrm>
                      <a:off x="0" y="0"/>
                      <a:ext cx="5334000" cy="3387331"/>
                    </a:xfrm>
                    <a:prstGeom prst="rect">
                      <a:avLst/>
                    </a:prstGeom>
                    <a:noFill/>
                    <a:ln w="9525">
                      <a:noFill/>
                      <a:headEnd/>
                      <a:tailEnd/>
                    </a:ln>
                  </pic:spPr>
                </pic:pic>
              </a:graphicData>
            </a:graphic>
          </wp:inline>
        </w:drawing>
      </w:r>
    </w:p>
    <w:p>
      <w:pPr>
        <w:pStyle w:val="ImageCaption"/>
      </w:pPr>
      <w:r>
        <w:t xml:space="preserve">TSaS Backend – Fachliche Module</w:t>
      </w:r>
    </w:p>
    <w:p>
      <w:pPr>
        <w:pStyle w:val="BodyText"/>
      </w:pPr>
      <w:r>
        <w:rPr>
          <w:i/>
          <w:iCs/>
        </w:rPr>
        <w:t xml:space="preserve">Quelle:</w:t>
      </w:r>
      <w:r>
        <w:rPr>
          <w:i/>
          <w:iCs/>
        </w:rPr>
        <w:t xml:space="preserve"> </w:t>
      </w:r>
      <w:hyperlink r:id="rId36">
        <w:r>
          <w:rPr>
            <w:rStyle w:val="VerbatimChar"/>
            <w:i/>
            <w:iCs/>
          </w:rPr>
          <w:t xml:space="preserve">diagrams/TSaS_Backend_Module.drawio</w:t>
        </w:r>
      </w:hyperlink>
    </w:p>
    <w:bookmarkEnd w:id="37"/>
    <w:bookmarkStart w:id="42" w:name="Xdde48f936cf8430c2326803bb37fe317373f62f"/>
    <w:p>
      <w:pPr>
        <w:pStyle w:val="Heading3"/>
      </w:pPr>
      <w:r>
        <w:t xml:space="preserve">5.3 Backend – Clean Architecture (Schichten &amp; Ports)</w:t>
      </w:r>
    </w:p>
    <w:p>
      <w:pPr>
        <w:pStyle w:val="FirstParagraph"/>
      </w:pPr>
      <w:r>
        <w:t xml:space="preserve">Jedes Modul ist intern nach Clean Architecture / Ports &amp; Adapters aufgebaut; Abhängigkeiten zeigen einwärts (</w:t>
      </w:r>
      <w:r>
        <w:rPr>
          <w:b/>
          <w:bCs/>
        </w:rPr>
        <w:t xml:space="preserve">Infrastructure → Application → Domain</w:t>
      </w:r>
      <w:r>
        <w:t xml:space="preserve">), die Domain bleibt framework-frei.</w:t>
      </w:r>
    </w:p>
    <w:p>
      <w:pPr>
        <w:pStyle w:val="Compact"/>
        <w:numPr>
          <w:ilvl w:val="0"/>
          <w:numId w:val="1002"/>
        </w:numPr>
      </w:pPr>
      <w:r>
        <w:rPr>
          <w:b/>
          <w:bCs/>
        </w:rPr>
        <w:t xml:space="preserve">Domain</w:t>
      </w:r>
      <w:r>
        <w:t xml:space="preserve"> </w:t>
      </w:r>
      <w:r>
        <w:t xml:space="preserve">– Modelle und Geschäftsregeln (</w:t>
      </w:r>
      <w:r>
        <w:rPr>
          <w:rStyle w:val="VerbatimChar"/>
        </w:rPr>
        <w:t xml:space="preserve">Player</w:t>
      </w:r>
      <w:r>
        <w:t xml:space="preserve">,</w:t>
      </w:r>
      <w:r>
        <w:t xml:space="preserve"> </w:t>
      </w:r>
      <w:r>
        <w:rPr>
          <w:rStyle w:val="VerbatimChar"/>
        </w:rPr>
        <w:t xml:space="preserve">Match</w:t>
      </w:r>
      <w:r>
        <w:t xml:space="preserve">,</w:t>
      </w:r>
      <w:r>
        <w:t xml:space="preserve"> </w:t>
      </w:r>
      <w:r>
        <w:rPr>
          <w:rStyle w:val="VerbatimChar"/>
        </w:rPr>
        <w:t xml:space="preserve">Point</w:t>
      </w:r>
      <w:r>
        <w:t xml:space="preserve">,</w:t>
      </w:r>
      <w:r>
        <w:t xml:space="preserve"> </w:t>
      </w:r>
      <w:r>
        <w:rPr>
          <w:rStyle w:val="VerbatimChar"/>
        </w:rPr>
        <w:t xml:space="preserve">MatchScore</w:t>
      </w:r>
      <w:r>
        <w:t xml:space="preserve">,</w:t>
      </w:r>
      <w:r>
        <w:t xml:space="preserve"> </w:t>
      </w:r>
      <w:r>
        <w:rPr>
          <w:rStyle w:val="VerbatimChar"/>
        </w:rPr>
        <w:t xml:space="preserve">MatchStatistics</w:t>
      </w:r>
      <w:r>
        <w:t xml:space="preserve">,</w:t>
      </w:r>
      <w:r>
        <w:t xml:space="preserve"> </w:t>
      </w:r>
      <w:r>
        <w:rPr>
          <w:rStyle w:val="VerbatimChar"/>
        </w:rPr>
        <w:t xml:space="preserve">MatchAnalysis</w:t>
      </w:r>
      <w:r>
        <w:t xml:space="preserve">), ohne Spring/JPA.</w:t>
      </w:r>
    </w:p>
    <w:p>
      <w:pPr>
        <w:pStyle w:val="Compact"/>
        <w:numPr>
          <w:ilvl w:val="0"/>
          <w:numId w:val="1002"/>
        </w:numPr>
      </w:pPr>
      <w:r>
        <w:rPr>
          <w:b/>
          <w:bCs/>
        </w:rPr>
        <w:t xml:space="preserve">Application</w:t>
      </w:r>
      <w:r>
        <w:t xml:space="preserve"> </w:t>
      </w:r>
      <w:r>
        <w:t xml:space="preserve">– Use-Case-Interfaces (</w:t>
      </w:r>
      <w:r>
        <w:rPr>
          <w:rStyle w:val="VerbatimChar"/>
        </w:rPr>
        <w:t xml:space="preserve">port/in</w:t>
      </w:r>
      <w:r>
        <w:t xml:space="preserve">) mit</w:t>
      </w:r>
      <w:r>
        <w:t xml:space="preserve"> </w:t>
      </w:r>
      <w:r>
        <w:rPr>
          <w:rStyle w:val="VerbatimChar"/>
        </w:rPr>
        <w:t xml:space="preserve">@Service</w:t>
      </w:r>
      <w:r>
        <w:t xml:space="preserve">-Implementierungen (</w:t>
      </w:r>
      <w:r>
        <w:rPr>
          <w:rStyle w:val="VerbatimChar"/>
        </w:rPr>
        <w:t xml:space="preserve">PlayerService</w:t>
      </w:r>
      <w:r>
        <w:t xml:space="preserve">,</w:t>
      </w:r>
      <w:r>
        <w:t xml:space="preserve"> </w:t>
      </w:r>
      <w:r>
        <w:rPr>
          <w:rStyle w:val="VerbatimChar"/>
        </w:rPr>
        <w:t xml:space="preserve">ScoringService</w:t>
      </w:r>
      <w:r>
        <w:t xml:space="preserve">,</w:t>
      </w:r>
      <w:r>
        <w:t xml:space="preserve"> </w:t>
      </w:r>
      <w:r>
        <w:rPr>
          <w:rStyle w:val="VerbatimChar"/>
        </w:rPr>
        <w:t xml:space="preserve">MatchStatisticsService</w:t>
      </w:r>
      <w:r>
        <w:t xml:space="preserve">,</w:t>
      </w:r>
      <w:r>
        <w:t xml:space="preserve"> </w:t>
      </w:r>
      <w:r>
        <w:rPr>
          <w:rStyle w:val="VerbatimChar"/>
        </w:rPr>
        <w:t xml:space="preserve">MatchAnalysisService</w:t>
      </w:r>
      <w:r>
        <w:t xml:space="preserve">, …) sowie Output-Ports (</w:t>
      </w:r>
      <w:r>
        <w:rPr>
          <w:rStyle w:val="VerbatimChar"/>
        </w:rPr>
        <w:t xml:space="preserve">port/out</w:t>
      </w:r>
      <w:r>
        <w:t xml:space="preserve">, z. B.</w:t>
      </w:r>
      <w:r>
        <w:t xml:space="preserve"> </w:t>
      </w:r>
      <w:r>
        <w:rPr>
          <w:rStyle w:val="VerbatimChar"/>
        </w:rPr>
        <w:t xml:space="preserve">LoadPlayerPort</w:t>
      </w:r>
      <w:r>
        <w:t xml:space="preserve">,</w:t>
      </w:r>
      <w:r>
        <w:t xml:space="preserve"> </w:t>
      </w:r>
      <w:r>
        <w:rPr>
          <w:rStyle w:val="VerbatimChar"/>
        </w:rPr>
        <w:t xml:space="preserve">LoadPointsByMatchPort</w:t>
      </w:r>
      <w:r>
        <w:t xml:space="preserve">,</w:t>
      </w:r>
      <w:r>
        <w:t xml:space="preserve"> </w:t>
      </w:r>
      <w:r>
        <w:rPr>
          <w:rStyle w:val="VerbatimChar"/>
        </w:rPr>
        <w:t xml:space="preserve">LlmClientPort</w:t>
      </w:r>
      <w:r>
        <w:t xml:space="preserve">).</w:t>
      </w:r>
    </w:p>
    <w:p>
      <w:pPr>
        <w:pStyle w:val="Compact"/>
        <w:numPr>
          <w:ilvl w:val="0"/>
          <w:numId w:val="1002"/>
        </w:numPr>
      </w:pPr>
      <w:r>
        <w:rPr>
          <w:b/>
          <w:bCs/>
        </w:rPr>
        <w:t xml:space="preserve">Infrastructure</w:t>
      </w:r>
      <w:r>
        <w:t xml:space="preserve"> </w:t>
      </w:r>
      <w:r>
        <w:t xml:space="preserve">– Adapter: REST-Controller (</w:t>
      </w:r>
      <w:r>
        <w:rPr>
          <w:rStyle w:val="VerbatimChar"/>
        </w:rPr>
        <w:t xml:space="preserve">web</w:t>
      </w:r>
      <w:r>
        <w:t xml:space="preserve">), JPA-Persistenz, LLM-Adapter (</w:t>
      </w:r>
      <w:r>
        <w:rPr>
          <w:rStyle w:val="VerbatimChar"/>
        </w:rPr>
        <w:t xml:space="preserve">OpenAiLlmAdapter</w:t>
      </w:r>
      <w:r>
        <w:t xml:space="preserve">/</w:t>
      </w:r>
      <w:r>
        <w:rPr>
          <w:rStyle w:val="VerbatimChar"/>
        </w:rPr>
        <w:t xml:space="preserve">FakeLlmClientAdapter</w:t>
      </w:r>
      <w:r>
        <w:t xml:space="preserve">), Security/Config.</w:t>
      </w:r>
    </w:p>
    <w:p>
      <w:pPr>
        <w:pStyle w:val="FirstParagraph"/>
      </w:pPr>
      <w:r>
        <w:t xml:space="preserve">Die Austauschbarkeit zeigt sich am</w:t>
      </w:r>
      <w:r>
        <w:t xml:space="preserve"> </w:t>
      </w:r>
      <w:r>
        <w:rPr>
          <w:rStyle w:val="VerbatimChar"/>
        </w:rPr>
        <w:t xml:space="preserve">LlmClientPort</w:t>
      </w:r>
      <w:r>
        <w:t xml:space="preserve">. Der produktiver</w:t>
      </w:r>
      <w:r>
        <w:t xml:space="preserve"> </w:t>
      </w:r>
      <w:r>
        <w:rPr>
          <w:rStyle w:val="VerbatimChar"/>
        </w:rPr>
        <w:t xml:space="preserve">OpenAiLlmAdapter</w:t>
      </w:r>
      <w:r>
        <w:t xml:space="preserve"> </w:t>
      </w:r>
      <w:r>
        <w:t xml:space="preserve">und der deterministischer</w:t>
      </w:r>
      <w:r>
        <w:t xml:space="preserve"> </w:t>
      </w:r>
      <w:r>
        <w:rPr>
          <w:rStyle w:val="VerbatimChar"/>
        </w:rPr>
        <w:t xml:space="preserve">FakeLlmClientAdapter</w:t>
      </w:r>
      <w:r>
        <w:t xml:space="preserve"> </w:t>
      </w:r>
      <w:r>
        <w:t xml:space="preserve">implementieren denselben Port — der Use Case bleibt unverändert. So kann der UseCase getestet werden.</w:t>
      </w:r>
    </w:p>
    <w:p>
      <w:pPr>
        <w:pStyle w:val="CaptionedFigure"/>
      </w:pPr>
      <w:r>
        <w:drawing>
          <wp:inline>
            <wp:extent cx="5334000" cy="4357016"/>
            <wp:effectExtent b="0" l="0" r="0" t="0"/>
            <wp:docPr descr="TSaS Backend – Clean Architecture (Klassen-Detail)" title="" id="39" name="Picture"/>
            <a:graphic>
              <a:graphicData uri="http://schemas.openxmlformats.org/drawingml/2006/picture">
                <pic:pic>
                  <pic:nvPicPr>
                    <pic:cNvPr descr="Backend_CleanArchitecture.png" id="40" name="Picture"/>
                    <pic:cNvPicPr>
                      <a:picLocks noChangeArrowheads="1" noChangeAspect="1"/>
                    </pic:cNvPicPr>
                  </pic:nvPicPr>
                  <pic:blipFill>
                    <a:blip r:embed="rId38"/>
                    <a:stretch>
                      <a:fillRect/>
                    </a:stretch>
                  </pic:blipFill>
                  <pic:spPr bwMode="auto">
                    <a:xfrm>
                      <a:off x="0" y="0"/>
                      <a:ext cx="5334000" cy="4357016"/>
                    </a:xfrm>
                    <a:prstGeom prst="rect">
                      <a:avLst/>
                    </a:prstGeom>
                    <a:noFill/>
                    <a:ln w="9525">
                      <a:noFill/>
                      <a:headEnd/>
                      <a:tailEnd/>
                    </a:ln>
                  </pic:spPr>
                </pic:pic>
              </a:graphicData>
            </a:graphic>
          </wp:inline>
        </w:drawing>
      </w:r>
    </w:p>
    <w:p>
      <w:pPr>
        <w:pStyle w:val="ImageCaption"/>
      </w:pPr>
      <w:r>
        <w:t xml:space="preserve">TSaS Backend – Clean Architecture (Klassen-Detail)</w:t>
      </w:r>
    </w:p>
    <w:p>
      <w:pPr>
        <w:pStyle w:val="BodyText"/>
      </w:pPr>
      <w:r>
        <w:rPr>
          <w:i/>
          <w:iCs/>
        </w:rPr>
        <w:t xml:space="preserve">Quelle:</w:t>
      </w:r>
      <w:r>
        <w:rPr>
          <w:i/>
          <w:iCs/>
        </w:rPr>
        <w:t xml:space="preserve"> </w:t>
      </w:r>
      <w:hyperlink r:id="rId41">
        <w:r>
          <w:rPr>
            <w:rStyle w:val="VerbatimChar"/>
            <w:i/>
            <w:iCs/>
          </w:rPr>
          <w:t xml:space="preserve">diagrams/TSaS_Backend_CleanArchitecture.drawio</w:t>
        </w:r>
      </w:hyperlink>
    </w:p>
    <w:p>
      <w:r>
        <w:pict>
          <v:rect style="width:0;height:1.5pt" o:hralign="center" o:hrstd="t" o:hr="t"/>
        </w:pict>
      </w:r>
    </w:p>
    <w:bookmarkEnd w:id="42"/>
    <w:bookmarkEnd w:id="43"/>
    <w:bookmarkStart w:id="59" w:name="laufzeitsicht"/>
    <w:p>
      <w:pPr>
        <w:pStyle w:val="Heading2"/>
      </w:pPr>
      <w:r>
        <w:t xml:space="preserve">6. Laufzeitsicht</w:t>
      </w:r>
    </w:p>
    <w:bookmarkStart w:id="48" w:name="szenario-punkt-erfassen"/>
    <w:p>
      <w:pPr>
        <w:pStyle w:val="Heading3"/>
      </w:pPr>
      <w:r>
        <w:t xml:space="preserve">6.1 Szenario: Punkt erfassen</w:t>
      </w:r>
    </w:p>
    <w:p>
      <w:pPr>
        <w:pStyle w:val="CaptionedFigure"/>
      </w:pPr>
      <w:r>
        <w:drawing>
          <wp:inline>
            <wp:extent cx="5039999" cy="3050458"/>
            <wp:effectExtent b="0" l="0" r="0" t="0"/>
            <wp:docPr descr="TSaS – Punkt erfassen (Sequenz)" title="" id="45" name="Picture"/>
            <a:graphic>
              <a:graphicData uri="http://schemas.openxmlformats.org/drawingml/2006/picture">
                <pic:pic>
                  <pic:nvPicPr>
                    <pic:cNvPr descr="Seq_RecordPoint.png" id="46" name="Picture"/>
                    <pic:cNvPicPr>
                      <a:picLocks noChangeArrowheads="1" noChangeAspect="1"/>
                    </pic:cNvPicPr>
                  </pic:nvPicPr>
                  <pic:blipFill>
                    <a:blip r:embed="rId44"/>
                    <a:stretch>
                      <a:fillRect/>
                    </a:stretch>
                  </pic:blipFill>
                  <pic:spPr bwMode="auto">
                    <a:xfrm>
                      <a:off x="0" y="0"/>
                      <a:ext cx="5039999" cy="3050458"/>
                    </a:xfrm>
                    <a:prstGeom prst="rect">
                      <a:avLst/>
                    </a:prstGeom>
                    <a:noFill/>
                    <a:ln w="9525">
                      <a:noFill/>
                      <a:headEnd/>
                      <a:tailEnd/>
                    </a:ln>
                  </pic:spPr>
                </pic:pic>
              </a:graphicData>
            </a:graphic>
          </wp:inline>
        </w:drawing>
      </w:r>
    </w:p>
    <w:p>
      <w:pPr>
        <w:pStyle w:val="ImageCaption"/>
      </w:pPr>
      <w:r>
        <w:t xml:space="preserve">TSaS – Punkt erfassen (Sequenz)</w:t>
      </w:r>
    </w:p>
    <w:p>
      <w:pPr>
        <w:pStyle w:val="BodyText"/>
      </w:pPr>
      <w:r>
        <w:rPr>
          <w:i/>
          <w:iCs/>
        </w:rPr>
        <w:t xml:space="preserve">Quelle:</w:t>
      </w:r>
      <w:r>
        <w:rPr>
          <w:i/>
          <w:iCs/>
        </w:rPr>
        <w:t xml:space="preserve"> </w:t>
      </w:r>
      <w:hyperlink r:id="rId47">
        <w:r>
          <w:rPr>
            <w:rStyle w:val="VerbatimChar"/>
            <w:i/>
            <w:iCs/>
          </w:rPr>
          <w:t xml:space="preserve">diagrams/TSaS_Seq_RecordPoint.puml</w:t>
        </w:r>
      </w:hyperlink>
      <w:r>
        <w:rPr>
          <w:i/>
          <w:iCs/>
        </w:rPr>
        <w:t xml:space="preserve">.</w:t>
      </w:r>
    </w:p>
    <w:p>
      <w:pPr>
        <w:pStyle w:val="Compact"/>
        <w:numPr>
          <w:ilvl w:val="0"/>
          <w:numId w:val="1003"/>
        </w:numPr>
      </w:pPr>
      <w:r>
        <w:t xml:space="preserve">Trainer klickt im Frontend auf den Punkttyp (z. B. „Forehand Winner”).</w:t>
      </w:r>
    </w:p>
    <w:p>
      <w:pPr>
        <w:pStyle w:val="Compact"/>
        <w:numPr>
          <w:ilvl w:val="0"/>
          <w:numId w:val="1003"/>
        </w:numPr>
      </w:pPr>
      <w:r>
        <w:t xml:space="preserve">Frontend sendet</w:t>
      </w:r>
      <w:r>
        <w:t xml:space="preserve"> </w:t>
      </w:r>
      <w:r>
        <w:rPr>
          <w:rStyle w:val="VerbatimChar"/>
        </w:rPr>
        <w:t xml:space="preserve">POST /api/matches/{id}/points</w:t>
      </w:r>
      <w:r>
        <w:t xml:space="preserve"> </w:t>
      </w:r>
      <w:r>
        <w:t xml:space="preserve">mit Bearer-Token.</w:t>
      </w:r>
    </w:p>
    <w:p>
      <w:pPr>
        <w:pStyle w:val="Compact"/>
        <w:numPr>
          <w:ilvl w:val="0"/>
          <w:numId w:val="1003"/>
        </w:numPr>
      </w:pPr>
      <w:r>
        <w:t xml:space="preserve">Das API validiert das Token (Keycloak).</w:t>
      </w:r>
    </w:p>
    <w:p>
      <w:pPr>
        <w:pStyle w:val="Compact"/>
        <w:numPr>
          <w:ilvl w:val="0"/>
          <w:numId w:val="1003"/>
        </w:numPr>
      </w:pPr>
      <w:r>
        <w:t xml:space="preserve">Das</w:t>
      </w:r>
      <w:r>
        <w:t xml:space="preserve"> </w:t>
      </w:r>
      <w:r>
        <w:rPr>
          <w:rStyle w:val="VerbatimChar"/>
        </w:rPr>
        <w:t xml:space="preserve">match-module</w:t>
      </w:r>
      <w:r>
        <w:t xml:space="preserve"> </w:t>
      </w:r>
      <w:r>
        <w:t xml:space="preserve">verarbeitet den Punkt: Spielstand (Punkte/Games/Sätze) aktualisieren, Persistenz in</w:t>
      </w:r>
      <w:r>
        <w:t xml:space="preserve"> </w:t>
      </w:r>
      <w:r>
        <w:rPr>
          <w:rStyle w:val="VerbatimChar"/>
        </w:rPr>
        <w:t xml:space="preserve">points</w:t>
      </w:r>
      <w:r>
        <w:t xml:space="preserve">.</w:t>
      </w:r>
    </w:p>
    <w:p>
      <w:pPr>
        <w:pStyle w:val="Compact"/>
        <w:numPr>
          <w:ilvl w:val="0"/>
          <w:numId w:val="1003"/>
        </w:numPr>
      </w:pPr>
      <w:r>
        <w:rPr>
          <w:rStyle w:val="VerbatimChar"/>
        </w:rPr>
        <w:t xml:space="preserve">match_scores</w:t>
      </w:r>
      <w:r>
        <w:t xml:space="preserve"> </w:t>
      </w:r>
      <w:r>
        <w:t xml:space="preserve">wird aktualisiert; aggregierte Statistiken berechnet das</w:t>
      </w:r>
      <w:r>
        <w:t xml:space="preserve"> </w:t>
      </w:r>
      <w:r>
        <w:rPr>
          <w:rStyle w:val="VerbatimChar"/>
        </w:rPr>
        <w:t xml:space="preserve">statistics-module</w:t>
      </w:r>
      <w:r>
        <w:t xml:space="preserve"> </w:t>
      </w:r>
      <w:r>
        <w:t xml:space="preserve">on-the-fly aus</w:t>
      </w:r>
      <w:r>
        <w:t xml:space="preserve"> </w:t>
      </w:r>
      <w:r>
        <w:rPr>
          <w:rStyle w:val="VerbatimChar"/>
        </w:rPr>
        <w:t xml:space="preserve">points</w:t>
      </w:r>
      <w:r>
        <w:t xml:space="preserve">.</w:t>
      </w:r>
    </w:p>
    <w:p>
      <w:pPr>
        <w:pStyle w:val="Compact"/>
        <w:numPr>
          <w:ilvl w:val="0"/>
          <w:numId w:val="1003"/>
        </w:numPr>
      </w:pPr>
      <w:r>
        <w:t xml:space="preserve">Antwort: aktualisierter Spielstand als JSON (HTTP 200).</w:t>
      </w:r>
    </w:p>
    <w:p>
      <w:pPr>
        <w:pStyle w:val="Compact"/>
        <w:numPr>
          <w:ilvl w:val="0"/>
          <w:numId w:val="1003"/>
        </w:numPr>
      </w:pPr>
      <w:r>
        <w:t xml:space="preserve">Frontend aktualisiert die Anzeige.</w:t>
      </w:r>
    </w:p>
    <w:bookmarkEnd w:id="48"/>
    <w:bookmarkStart w:id="53" w:name="X2fff043d07f14bccbec7d33989c0b93f7e0c4dd"/>
    <w:p>
      <w:pPr>
        <w:pStyle w:val="Heading3"/>
      </w:pPr>
      <w:r>
        <w:t xml:space="preserve">6.2 Szenario: KI-gestützte Match-Analyse (Postmortem)</w:t>
      </w:r>
    </w:p>
    <w:p>
      <w:pPr>
        <w:pStyle w:val="CaptionedFigure"/>
      </w:pPr>
      <w:r>
        <w:drawing>
          <wp:inline>
            <wp:extent cx="5334000" cy="3324854"/>
            <wp:effectExtent b="0" l="0" r="0" t="0"/>
            <wp:docPr descr="TSaS – KI-Match-Analyse generieren (Sequenz)" title="" id="50" name="Picture"/>
            <a:graphic>
              <a:graphicData uri="http://schemas.openxmlformats.org/drawingml/2006/picture">
                <pic:pic>
                  <pic:nvPicPr>
                    <pic:cNvPr descr="Seq_GenerateAnalysis.png" id="51" name="Picture"/>
                    <pic:cNvPicPr>
                      <a:picLocks noChangeArrowheads="1" noChangeAspect="1"/>
                    </pic:cNvPicPr>
                  </pic:nvPicPr>
                  <pic:blipFill>
                    <a:blip r:embed="rId49"/>
                    <a:stretch>
                      <a:fillRect/>
                    </a:stretch>
                  </pic:blipFill>
                  <pic:spPr bwMode="auto">
                    <a:xfrm>
                      <a:off x="0" y="0"/>
                      <a:ext cx="5334000" cy="3324854"/>
                    </a:xfrm>
                    <a:prstGeom prst="rect">
                      <a:avLst/>
                    </a:prstGeom>
                    <a:noFill/>
                    <a:ln w="9525">
                      <a:noFill/>
                      <a:headEnd/>
                      <a:tailEnd/>
                    </a:ln>
                  </pic:spPr>
                </pic:pic>
              </a:graphicData>
            </a:graphic>
          </wp:inline>
        </w:drawing>
      </w:r>
    </w:p>
    <w:p>
      <w:pPr>
        <w:pStyle w:val="ImageCaption"/>
      </w:pPr>
      <w:r>
        <w:t xml:space="preserve">TSaS – KI-Match-Analyse generieren (Sequenz)</w:t>
      </w:r>
    </w:p>
    <w:p>
      <w:pPr>
        <w:pStyle w:val="BodyText"/>
      </w:pPr>
      <w:r>
        <w:rPr>
          <w:i/>
          <w:iCs/>
        </w:rPr>
        <w:t xml:space="preserve">Quelle:</w:t>
      </w:r>
      <w:r>
        <w:rPr>
          <w:i/>
          <w:iCs/>
        </w:rPr>
        <w:t xml:space="preserve"> </w:t>
      </w:r>
      <w:hyperlink r:id="rId52">
        <w:r>
          <w:rPr>
            <w:rStyle w:val="VerbatimChar"/>
            <w:i/>
            <w:iCs/>
          </w:rPr>
          <w:t xml:space="preserve">diagrams/TSaS_Seq_GenerateAnalysis.puml</w:t>
        </w:r>
      </w:hyperlink>
      <w:r>
        <w:rPr>
          <w:i/>
          <w:iCs/>
        </w:rPr>
        <w:t xml:space="preserve">.</w:t>
      </w:r>
    </w:p>
    <w:p>
      <w:pPr>
        <w:pStyle w:val="Compact"/>
        <w:numPr>
          <w:ilvl w:val="0"/>
          <w:numId w:val="1004"/>
        </w:numPr>
      </w:pPr>
      <w:r>
        <w:t xml:space="preserve">Coach öffnet ein beendetes Match (</w:t>
      </w:r>
      <w:r>
        <w:rPr>
          <w:rStyle w:val="VerbatimChar"/>
        </w:rPr>
        <w:t xml:space="preserve">COMPLETED</w:t>
      </w:r>
      <w:r>
        <w:t xml:space="preserve">) und klickt „Taktische Analyse generieren”.</w:t>
      </w:r>
    </w:p>
    <w:p>
      <w:pPr>
        <w:pStyle w:val="Compact"/>
        <w:numPr>
          <w:ilvl w:val="0"/>
          <w:numId w:val="1004"/>
        </w:numPr>
      </w:pPr>
      <w:r>
        <w:t xml:space="preserve">Frontend sendet</w:t>
      </w:r>
      <w:r>
        <w:t xml:space="preserve"> </w:t>
      </w:r>
      <w:r>
        <w:rPr>
          <w:rStyle w:val="VerbatimChar"/>
        </w:rPr>
        <w:t xml:space="preserve">POST /api/matches/{id}/analysis</w:t>
      </w:r>
      <w:r>
        <w:t xml:space="preserve"> </w:t>
      </w:r>
      <w:r>
        <w:t xml:space="preserve">mit Bearer-Token.</w:t>
      </w:r>
    </w:p>
    <w:p>
      <w:pPr>
        <w:pStyle w:val="Compact"/>
        <w:numPr>
          <w:ilvl w:val="0"/>
          <w:numId w:val="1004"/>
        </w:numPr>
      </w:pPr>
      <w:r>
        <w:t xml:space="preserve">Der</w:t>
      </w:r>
      <w:r>
        <w:t xml:space="preserve"> </w:t>
      </w:r>
      <w:r>
        <w:rPr>
          <w:rStyle w:val="VerbatimChar"/>
        </w:rPr>
        <w:t xml:space="preserve">MatchAnalysisController</w:t>
      </w:r>
      <w:r>
        <w:t xml:space="preserve"> </w:t>
      </w:r>
      <w:r>
        <w:t xml:space="preserve">(</w:t>
      </w:r>
      <w:r>
        <w:rPr>
          <w:rStyle w:val="VerbatimChar"/>
        </w:rPr>
        <w:t xml:space="preserve">ai-module</w:t>
      </w:r>
      <w:r>
        <w:t xml:space="preserve">) ruft den</w:t>
      </w:r>
      <w:r>
        <w:t xml:space="preserve"> </w:t>
      </w:r>
      <w:r>
        <w:rPr>
          <w:rStyle w:val="VerbatimChar"/>
        </w:rPr>
        <w:t xml:space="preserve">GenerateMatchAnalysisUseCase</w:t>
      </w:r>
      <w:r>
        <w:t xml:space="preserve">.</w:t>
      </w:r>
    </w:p>
    <w:p>
      <w:pPr>
        <w:pStyle w:val="Compact"/>
        <w:numPr>
          <w:ilvl w:val="0"/>
          <w:numId w:val="1004"/>
        </w:numPr>
      </w:pPr>
      <w:r>
        <w:t xml:space="preserve">Vorbedingungen: Status = COMPLETED (sonst 409), Punktzahl ≥ 10 (sonst 422, Kostenschutz).</w:t>
      </w:r>
    </w:p>
    <w:p>
      <w:pPr>
        <w:pStyle w:val="Compact"/>
        <w:numPr>
          <w:ilvl w:val="0"/>
          <w:numId w:val="1004"/>
        </w:numPr>
      </w:pPr>
      <w:r>
        <w:t xml:space="preserve">Der Service lädt aggregierte Kennzahlen (</w:t>
      </w:r>
      <w:r>
        <w:rPr>
          <w:rStyle w:val="VerbatimChar"/>
        </w:rPr>
        <w:t xml:space="preserve">statistics-module</w:t>
      </w:r>
      <w:r>
        <w:t xml:space="preserve">), Spielermetadaten (</w:t>
      </w:r>
      <w:r>
        <w:rPr>
          <w:rStyle w:val="VerbatimChar"/>
        </w:rPr>
        <w:t xml:space="preserve">player-module</w:t>
      </w:r>
      <w:r>
        <w:t xml:space="preserve">) und die Coach-Notizen des Matches (</w:t>
      </w:r>
      <w:r>
        <w:rPr>
          <w:rStyle w:val="VerbatimChar"/>
        </w:rPr>
        <w:t xml:space="preserve">match-module</w:t>
      </w:r>
      <w:r>
        <w:t xml:space="preserve">,</w:t>
      </w:r>
      <w:r>
        <w:t xml:space="preserve"> </w:t>
      </w:r>
      <w:r>
        <w:rPr>
          <w:rStyle w:val="VerbatimChar"/>
        </w:rPr>
        <w:t xml:space="preserve">GetPlayerNotesUseCase</w:t>
      </w:r>
      <w:r>
        <w:t xml:space="preserve">) als Prompt-Kontext (FA-22).</w:t>
      </w:r>
    </w:p>
    <w:p>
      <w:pPr>
        <w:pStyle w:val="Compact"/>
        <w:numPr>
          <w:ilvl w:val="0"/>
          <w:numId w:val="1004"/>
        </w:numPr>
      </w:pPr>
      <w:r>
        <w:rPr>
          <w:rStyle w:val="VerbatimChar"/>
        </w:rPr>
        <w:t xml:space="preserve">LlmClientPort.generateAnalysis(...)</w:t>
      </w:r>
      <w:r>
        <w:t xml:space="preserve">: im Default-Profil</w:t>
      </w:r>
      <w:r>
        <w:t xml:space="preserve"> </w:t>
      </w:r>
      <w:r>
        <w:rPr>
          <w:rStyle w:val="VerbatimChar"/>
        </w:rPr>
        <w:t xml:space="preserve">OpenAiLlmAdapter</w:t>
      </w:r>
      <w:r>
        <w:t xml:space="preserve"> </w:t>
      </w:r>
      <w:r>
        <w:t xml:space="preserve">(Spring AI → OpenAI, strukturierter JSON-Output); ohne</w:t>
      </w:r>
      <w:r>
        <w:t xml:space="preserve"> </w:t>
      </w:r>
      <w:r>
        <w:rPr>
          <w:rStyle w:val="VerbatimChar"/>
        </w:rPr>
        <w:t xml:space="preserve">OPENAI_API_KEY</w:t>
      </w:r>
      <w:r>
        <w:t xml:space="preserve"> </w:t>
      </w:r>
      <w:r>
        <w:t xml:space="preserve">übernimmt der deterministische</w:t>
      </w:r>
      <w:r>
        <w:t xml:space="preserve"> </w:t>
      </w:r>
      <w:r>
        <w:rPr>
          <w:rStyle w:val="VerbatimChar"/>
        </w:rPr>
        <w:t xml:space="preserve">FakeLlmClientAdapter</w:t>
      </w:r>
      <w:r>
        <w:t xml:space="preserve">.</w:t>
      </w:r>
    </w:p>
    <w:p>
      <w:pPr>
        <w:pStyle w:val="Compact"/>
        <w:numPr>
          <w:ilvl w:val="0"/>
          <w:numId w:val="1004"/>
        </w:numPr>
      </w:pPr>
      <w:r>
        <w:t xml:space="preserve">Die strukturierte Antwort (Schlüsselmomente, Stärken/Schwächen, 3–5 Empfehlungen) wird als</w:t>
      </w:r>
      <w:r>
        <w:t xml:space="preserve"> </w:t>
      </w:r>
      <w:r>
        <w:rPr>
          <w:rStyle w:val="VerbatimChar"/>
        </w:rPr>
        <w:t xml:space="preserve">MatchAnalysis</w:t>
      </w:r>
      <w:r>
        <w:t xml:space="preserve"> </w:t>
      </w:r>
      <w:r>
        <w:t xml:space="preserve">(Status COMPLETED) in</w:t>
      </w:r>
      <w:r>
        <w:t xml:space="preserve"> </w:t>
      </w:r>
      <w:r>
        <w:rPr>
          <w:rStyle w:val="VerbatimChar"/>
        </w:rPr>
        <w:t xml:space="preserve">match_analysis</w:t>
      </w:r>
      <w:r>
        <w:t xml:space="preserve"> </w:t>
      </w:r>
      <w:r>
        <w:t xml:space="preserve">persistiert (1:1 zum Match, überschreibbar).</w:t>
      </w:r>
    </w:p>
    <w:p>
      <w:pPr>
        <w:pStyle w:val="Compact"/>
        <w:numPr>
          <w:ilvl w:val="0"/>
          <w:numId w:val="1004"/>
        </w:numPr>
      </w:pPr>
      <w:r>
        <w:t xml:space="preserve">API antwortet HTTP 200 mit der Analyse.</w:t>
      </w:r>
    </w:p>
    <w:p>
      <w:pPr>
        <w:pStyle w:val="Compact"/>
        <w:numPr>
          <w:ilvl w:val="0"/>
          <w:numId w:val="1004"/>
        </w:numPr>
      </w:pPr>
      <w:r>
        <w:t xml:space="preserve">Bei LLM-Fehlern wird ein</w:t>
      </w:r>
      <w:r>
        <w:t xml:space="preserve"> </w:t>
      </w:r>
      <w:r>
        <w:rPr>
          <w:rStyle w:val="VerbatimChar"/>
        </w:rPr>
        <w:t xml:space="preserve">FAILED</w:t>
      </w:r>
      <w:r>
        <w:t xml:space="preserve">-Datensatz (mit</w:t>
      </w:r>
      <w:r>
        <w:t xml:space="preserve"> </w:t>
      </w:r>
      <w:r>
        <w:rPr>
          <w:rStyle w:val="VerbatimChar"/>
        </w:rPr>
        <w:t xml:space="preserve">errorMessage</w:t>
      </w:r>
      <w:r>
        <w:t xml:space="preserve">) persistiert, API → HTTP 502; „Erneut versuchen” überschreibt ihn beim nächsten Erfolg.</w:t>
      </w:r>
    </w:p>
    <w:p>
      <w:pPr>
        <w:pStyle w:val="Compact"/>
        <w:numPr>
          <w:ilvl w:val="0"/>
          <w:numId w:val="1004"/>
        </w:numPr>
      </w:pPr>
      <w:r>
        <w:rPr>
          <w:rStyle w:val="VerbatimChar"/>
        </w:rPr>
        <w:t xml:space="preserve">GET /api/matches/{id}/analysis</w:t>
      </w:r>
      <w:r>
        <w:t xml:space="preserve"> </w:t>
      </w:r>
      <w:r>
        <w:t xml:space="preserve">liefert die gespeicherte Analyse ohne erneuten LLM-Aufruf (200) bzw. 404, falls noch keine existiert.</w:t>
      </w:r>
    </w:p>
    <w:bookmarkEnd w:id="53"/>
    <w:bookmarkStart w:id="58" w:name="szenario-benutzer-authentifizierung"/>
    <w:p>
      <w:pPr>
        <w:pStyle w:val="Heading3"/>
      </w:pPr>
      <w:r>
        <w:t xml:space="preserve">6.3 Szenario: Benutzer-Authentifizierung</w:t>
      </w:r>
    </w:p>
    <w:p>
      <w:pPr>
        <w:pStyle w:val="CaptionedFigure"/>
      </w:pPr>
      <w:r>
        <w:drawing>
          <wp:inline>
            <wp:extent cx="5334000" cy="4464298"/>
            <wp:effectExtent b="0" l="0" r="0" t="0"/>
            <wp:docPr descr="TSaS – Benutzer-Authentifizierung (Sequenz)" title="" id="55" name="Picture"/>
            <a:graphic>
              <a:graphicData uri="http://schemas.openxmlformats.org/drawingml/2006/picture">
                <pic:pic>
                  <pic:nvPicPr>
                    <pic:cNvPr descr="Seq_Authentication.png" id="56" name="Picture"/>
                    <pic:cNvPicPr>
                      <a:picLocks noChangeArrowheads="1" noChangeAspect="1"/>
                    </pic:cNvPicPr>
                  </pic:nvPicPr>
                  <pic:blipFill>
                    <a:blip r:embed="rId54"/>
                    <a:stretch>
                      <a:fillRect/>
                    </a:stretch>
                  </pic:blipFill>
                  <pic:spPr bwMode="auto">
                    <a:xfrm>
                      <a:off x="0" y="0"/>
                      <a:ext cx="5334000" cy="4464298"/>
                    </a:xfrm>
                    <a:prstGeom prst="rect">
                      <a:avLst/>
                    </a:prstGeom>
                    <a:noFill/>
                    <a:ln w="9525">
                      <a:noFill/>
                      <a:headEnd/>
                      <a:tailEnd/>
                    </a:ln>
                  </pic:spPr>
                </pic:pic>
              </a:graphicData>
            </a:graphic>
          </wp:inline>
        </w:drawing>
      </w:r>
    </w:p>
    <w:p>
      <w:pPr>
        <w:pStyle w:val="ImageCaption"/>
      </w:pPr>
      <w:r>
        <w:t xml:space="preserve">TSaS – Benutzer-Authentifizierung (Sequenz)</w:t>
      </w:r>
    </w:p>
    <w:p>
      <w:pPr>
        <w:pStyle w:val="BodyText"/>
      </w:pPr>
      <w:r>
        <w:rPr>
          <w:i/>
          <w:iCs/>
        </w:rPr>
        <w:t xml:space="preserve">Quelle:</w:t>
      </w:r>
      <w:r>
        <w:rPr>
          <w:i/>
          <w:iCs/>
        </w:rPr>
        <w:t xml:space="preserve"> </w:t>
      </w:r>
      <w:hyperlink r:id="rId57">
        <w:r>
          <w:rPr>
            <w:rStyle w:val="VerbatimChar"/>
            <w:i/>
            <w:iCs/>
          </w:rPr>
          <w:t xml:space="preserve">diagrams/TSaS_Seq_Authentication.puml</w:t>
        </w:r>
      </w:hyperlink>
      <w:r>
        <w:rPr>
          <w:i/>
          <w:iCs/>
        </w:rPr>
        <w:t xml:space="preserve">.</w:t>
      </w:r>
    </w:p>
    <w:p>
      <w:r>
        <w:pict>
          <v:rect style="width:0;height:1.5pt" o:hralign="center" o:hrstd="t" o:hr="t"/>
        </w:pict>
      </w:r>
    </w:p>
    <w:bookmarkEnd w:id="58"/>
    <w:bookmarkEnd w:id="59"/>
    <w:bookmarkStart w:id="69" w:name="verteilungssicht"/>
    <w:p>
      <w:pPr>
        <w:pStyle w:val="Heading2"/>
      </w:pPr>
      <w:r>
        <w:t xml:space="preserve">7. Verteilungssicht</w:t>
      </w:r>
    </w:p>
    <w:bookmarkStart w:id="64" w:name="infrastruktur"/>
    <w:p>
      <w:pPr>
        <w:pStyle w:val="Heading3"/>
      </w:pPr>
      <w:r>
        <w:t xml:space="preserve">7.1 Infrastruktur</w:t>
      </w:r>
    </w:p>
    <w:p>
      <w:pPr>
        <w:pStyle w:val="FirstParagraph"/>
      </w:pPr>
      <w:r>
        <w:t xml:space="preserve">Deployment via Docker Compose.</w:t>
      </w:r>
    </w:p>
    <w:p>
      <w:pPr>
        <w:pStyle w:val="CaptionedFigure"/>
      </w:pPr>
      <w:r>
        <w:drawing>
          <wp:inline>
            <wp:extent cx="5334000" cy="4663376"/>
            <wp:effectExtent b="0" l="0" r="0" t="0"/>
            <wp:docPr descr="TSaS – Verteilungssicht (Docker Compose)" title="" id="61" name="Picture"/>
            <a:graphic>
              <a:graphicData uri="http://schemas.openxmlformats.org/drawingml/2006/picture">
                <pic:pic>
                  <pic:nvPicPr>
                    <pic:cNvPr descr="Deployment.png" id="62" name="Picture"/>
                    <pic:cNvPicPr>
                      <a:picLocks noChangeArrowheads="1" noChangeAspect="1"/>
                    </pic:cNvPicPr>
                  </pic:nvPicPr>
                  <pic:blipFill>
                    <a:blip r:embed="rId60"/>
                    <a:stretch>
                      <a:fillRect/>
                    </a:stretch>
                  </pic:blipFill>
                  <pic:spPr bwMode="auto">
                    <a:xfrm>
                      <a:off x="0" y="0"/>
                      <a:ext cx="5334000" cy="4663376"/>
                    </a:xfrm>
                    <a:prstGeom prst="rect">
                      <a:avLst/>
                    </a:prstGeom>
                    <a:noFill/>
                    <a:ln w="9525">
                      <a:noFill/>
                      <a:headEnd/>
                      <a:tailEnd/>
                    </a:ln>
                  </pic:spPr>
                </pic:pic>
              </a:graphicData>
            </a:graphic>
          </wp:inline>
        </w:drawing>
      </w:r>
    </w:p>
    <w:p>
      <w:pPr>
        <w:pStyle w:val="ImageCaption"/>
      </w:pPr>
      <w:r>
        <w:t xml:space="preserve">TSaS – Verteilungssicht (Docker Compose)</w:t>
      </w:r>
    </w:p>
    <w:p>
      <w:pPr>
        <w:pStyle w:val="BodyText"/>
      </w:pPr>
      <w:r>
        <w:rPr>
          <w:i/>
          <w:iCs/>
        </w:rPr>
        <w:t xml:space="preserve">Quelle:</w:t>
      </w:r>
      <w:r>
        <w:rPr>
          <w:i/>
          <w:iCs/>
        </w:rPr>
        <w:t xml:space="preserve"> </w:t>
      </w:r>
      <w:hyperlink r:id="rId63">
        <w:r>
          <w:rPr>
            <w:rStyle w:val="VerbatimChar"/>
            <w:i/>
            <w:iCs/>
          </w:rPr>
          <w:t xml:space="preserve">diagrams/TSaS_Deployment.drawio</w:t>
        </w:r>
      </w:hyperlink>
      <w:r>
        <w:rPr>
          <w:i/>
          <w:iCs/>
        </w:rPr>
        <w:t xml:space="preserve">. Der externe OpenAI-LLM-Dienst (Spring AI, ab V1.x) wird vom Backend über HTTPS angesprochen.</w:t>
      </w:r>
    </w:p>
    <w:tbl>
      <w:tblPr>
        <w:tblStyle w:val="Table"/>
        <w:tblW w:type="pct" w:w="5000"/>
        <w:tblLayout w:type="fixed"/>
        <w:tblLook w:firstRow="1" w:lastRow="0" w:firstColumn="0" w:lastColumn="0" w:noHBand="0" w:noVBand="0" w:val="0020"/>
      </w:tblPr>
      <w:tblGrid>
        <w:gridCol w:w="2354"/>
        <w:gridCol w:w="1712"/>
        <w:gridCol w:w="1498"/>
        <w:gridCol w:w="2354"/>
      </w:tblGrid>
      <w:tr>
        <w:trPr>
          <w:tblHeader w:val="on"/>
        </w:trPr>
        <w:tc>
          <w:tcPr/>
          <w:p>
            <w:pPr>
              <w:pStyle w:val="Compact"/>
            </w:pPr>
            <w:r>
              <w:t xml:space="preserve">Container</w:t>
            </w:r>
          </w:p>
        </w:tc>
        <w:tc>
          <w:tcPr/>
          <w:p>
            <w:pPr>
              <w:pStyle w:val="Compact"/>
            </w:pPr>
            <w:r>
              <w:t xml:space="preserve">Inhalt</w:t>
            </w:r>
          </w:p>
        </w:tc>
        <w:tc>
          <w:tcPr/>
          <w:p>
            <w:pPr>
              <w:pStyle w:val="Compact"/>
            </w:pPr>
            <w:r>
              <w:t xml:space="preserve">Ports</w:t>
            </w:r>
          </w:p>
        </w:tc>
        <w:tc>
          <w:tcPr/>
          <w:p>
            <w:pPr>
              <w:pStyle w:val="Compact"/>
            </w:pPr>
            <w:r>
              <w:t xml:space="preserve">Bemerkung</w:t>
            </w:r>
          </w:p>
        </w:tc>
      </w:tr>
      <w:tr>
        <w:tc>
          <w:tcPr/>
          <w:p>
            <w:pPr>
              <w:pStyle w:val="Compact"/>
            </w:pPr>
            <w:r>
              <w:rPr>
                <w:rStyle w:val="VerbatimChar"/>
              </w:rPr>
              <w:t xml:space="preserve">frontend</w:t>
            </w:r>
          </w:p>
        </w:tc>
        <w:tc>
          <w:tcPr/>
          <w:p>
            <w:pPr>
              <w:pStyle w:val="Compact"/>
            </w:pPr>
            <w:r>
              <w:t xml:space="preserve">nginx-unprivileged + Angular SPA</w:t>
            </w:r>
          </w:p>
        </w:tc>
        <w:tc>
          <w:tcPr/>
          <w:p>
            <w:pPr>
              <w:pStyle w:val="Compact"/>
            </w:pPr>
            <w:r>
              <w:t xml:space="preserve">Host 80 → Container 8080</w:t>
            </w:r>
          </w:p>
        </w:tc>
        <w:tc>
          <w:tcPr/>
          <w:p>
            <w:pPr>
              <w:pStyle w:val="Compact"/>
            </w:pPr>
            <w:r>
              <w:t xml:space="preserve">Läuft als UID 101, liefert die SPA, proxied</w:t>
            </w:r>
            <w:r>
              <w:t xml:space="preserve"> </w:t>
            </w:r>
            <w:r>
              <w:rPr>
                <w:rStyle w:val="VerbatimChar"/>
              </w:rPr>
              <w:t xml:space="preserve">/api/</w:t>
            </w:r>
            <w:r>
              <w:t xml:space="preserve"> </w:t>
            </w:r>
            <w:r>
              <w:t xml:space="preserve">ans Backend.</w:t>
            </w:r>
          </w:p>
        </w:tc>
      </w:tr>
      <w:tr>
        <w:tc>
          <w:tcPr/>
          <w:p>
            <w:pPr>
              <w:pStyle w:val="Compact"/>
            </w:pPr>
            <w:r>
              <w:rPr>
                <w:rStyle w:val="VerbatimChar"/>
              </w:rPr>
              <w:t xml:space="preserve">backend</w:t>
            </w:r>
          </w:p>
        </w:tc>
        <w:tc>
          <w:tcPr/>
          <w:p>
            <w:pPr>
              <w:pStyle w:val="Compact"/>
            </w:pPr>
            <w:r>
              <w:t xml:space="preserve">Spring Boot API (Java 25)</w:t>
            </w:r>
          </w:p>
        </w:tc>
        <w:tc>
          <w:tcPr/>
          <w:p>
            <w:pPr>
              <w:pStyle w:val="Compact"/>
            </w:pPr>
            <w:r>
              <w:t xml:space="preserve">8080</w:t>
            </w:r>
          </w:p>
        </w:tc>
        <w:tc>
          <w:tcPr/>
          <w:p>
            <w:pPr>
              <w:pStyle w:val="Compact"/>
            </w:pPr>
            <w:r>
              <w:t xml:space="preserve">UID 10001; im Prod-Setup nur intern erreichbar.</w:t>
            </w:r>
          </w:p>
        </w:tc>
      </w:tr>
      <w:tr>
        <w:tc>
          <w:tcPr/>
          <w:p>
            <w:pPr>
              <w:pStyle w:val="Compact"/>
            </w:pPr>
            <w:r>
              <w:rPr>
                <w:rStyle w:val="VerbatimChar"/>
              </w:rPr>
              <w:t xml:space="preserve">db</w:t>
            </w:r>
          </w:p>
        </w:tc>
        <w:tc>
          <w:tcPr/>
          <w:p>
            <w:pPr>
              <w:pStyle w:val="Compact"/>
            </w:pPr>
            <w:r>
              <w:t xml:space="preserve">PostgreSQL 16</w:t>
            </w:r>
          </w:p>
        </w:tc>
        <w:tc>
          <w:tcPr/>
          <w:p>
            <w:pPr>
              <w:pStyle w:val="Compact"/>
            </w:pPr>
            <w:r>
              <w:t xml:space="preserve">5432 (intern)</w:t>
            </w:r>
          </w:p>
        </w:tc>
        <w:tc>
          <w:tcPr/>
          <w:p>
            <w:pPr>
              <w:pStyle w:val="Compact"/>
            </w:pPr>
            <w:r>
              <w:t xml:space="preserve">Persistentes Volume, kein Port-Mapping nach aussen.</w:t>
            </w:r>
          </w:p>
        </w:tc>
      </w:tr>
      <w:tr>
        <w:tc>
          <w:tcPr/>
          <w:p>
            <w:pPr>
              <w:pStyle w:val="Compact"/>
            </w:pPr>
            <w:r>
              <w:rPr>
                <w:rStyle w:val="VerbatimChar"/>
              </w:rPr>
              <w:t xml:space="preserve">keycloak</w:t>
            </w:r>
          </w:p>
        </w:tc>
        <w:tc>
          <w:tcPr/>
          <w:p>
            <w:pPr>
              <w:pStyle w:val="Compact"/>
            </w:pPr>
            <w:r>
              <w:t xml:space="preserve">Keycloak 26</w:t>
            </w:r>
          </w:p>
        </w:tc>
        <w:tc>
          <w:tcPr/>
          <w:p>
            <w:pPr>
              <w:pStyle w:val="Compact"/>
            </w:pPr>
            <w:r>
              <w:t xml:space="preserve">8443 (HTTPS), 18080 (HTTP, JWKS)</w:t>
            </w:r>
          </w:p>
        </w:tc>
        <w:tc>
          <w:tcPr/>
          <w:p>
            <w:pPr>
              <w:pStyle w:val="Compact"/>
            </w:pPr>
            <w:r>
              <w:t xml:space="preserve">Realm</w:t>
            </w:r>
            <w:r>
              <w:t xml:space="preserve"> </w:t>
            </w:r>
            <w:r>
              <w:rPr>
                <w:rStyle w:val="VerbatimChar"/>
              </w:rPr>
              <w:t xml:space="preserve">tsas</w:t>
            </w:r>
            <w:r>
              <w:t xml:space="preserve"> </w:t>
            </w:r>
            <w:r>
              <w:t xml:space="preserve">wird beim Start importiert.</w:t>
            </w:r>
          </w:p>
        </w:tc>
      </w:tr>
    </w:tbl>
    <w:bookmarkEnd w:id="64"/>
    <w:bookmarkStart w:id="65" w:name="container-hardening-stride-e5"/>
    <w:p>
      <w:pPr>
        <w:pStyle w:val="Heading3"/>
      </w:pPr>
      <w:r>
        <w:t xml:space="preserve">7.1.1 Container-Hardening (STRIDE E5)</w:t>
      </w:r>
    </w:p>
    <w:p>
      <w:pPr>
        <w:pStyle w:val="FirstParagraph"/>
      </w:pPr>
      <w:r>
        <w:t xml:space="preserve">Alle Services in</w:t>
      </w:r>
      <w:r>
        <w:t xml:space="preserve"> </w:t>
      </w:r>
      <w:r>
        <w:rPr>
          <w:rStyle w:val="VerbatimChar"/>
        </w:rPr>
        <w:t xml:space="preserve">docker/compose.yml</w:t>
      </w:r>
      <w:r>
        <w:t xml:space="preserve"> </w:t>
      </w:r>
      <w:r>
        <w:t xml:space="preserve">laufen mit Sicherheits-Defaults (adressiert STRIDE T4/D5):</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Massnahme</w:t>
            </w:r>
          </w:p>
        </w:tc>
        <w:tc>
          <w:tcPr/>
          <w:p>
            <w:pPr>
              <w:pStyle w:val="Compact"/>
            </w:pPr>
            <w:r>
              <w:t xml:space="preserve">Wirkung</w:t>
            </w:r>
          </w:p>
        </w:tc>
      </w:tr>
      <w:tr>
        <w:tc>
          <w:tcPr/>
          <w:p>
            <w:pPr>
              <w:pStyle w:val="Compact"/>
            </w:pPr>
            <w:r>
              <w:rPr>
                <w:b/>
                <w:bCs/>
              </w:rPr>
              <w:t xml:space="preserve">Non-root User</w:t>
            </w:r>
          </w:p>
        </w:tc>
        <w:tc>
          <w:tcPr/>
          <w:p>
            <w:pPr>
              <w:pStyle w:val="Compact"/>
            </w:pPr>
            <w:r>
              <w:rPr>
                <w:rStyle w:val="VerbatimChar"/>
              </w:rPr>
              <w:t xml:space="preserve">backend</w:t>
            </w:r>
            <w:r>
              <w:t xml:space="preserve"> </w:t>
            </w:r>
            <w:r>
              <w:t xml:space="preserve">UID 10001,</w:t>
            </w:r>
            <w:r>
              <w:t xml:space="preserve"> </w:t>
            </w:r>
            <w:r>
              <w:rPr>
                <w:rStyle w:val="VerbatimChar"/>
              </w:rPr>
              <w:t xml:space="preserve">frontend</w:t>
            </w:r>
            <w:r>
              <w:t xml:space="preserve"> </w:t>
            </w:r>
            <w:r>
              <w:t xml:space="preserve">via</w:t>
            </w:r>
            <w:r>
              <w:t xml:space="preserve"> </w:t>
            </w:r>
            <w:r>
              <w:rPr>
                <w:rStyle w:val="VerbatimChar"/>
              </w:rPr>
              <w:t xml:space="preserve">nginx-unprivileged</w:t>
            </w:r>
            <w:r>
              <w:t xml:space="preserve"> </w:t>
            </w:r>
            <w:r>
              <w:t xml:space="preserve">UID 101.</w:t>
            </w:r>
          </w:p>
        </w:tc>
      </w:tr>
      <w:tr>
        <w:tc>
          <w:tcPr/>
          <w:p>
            <w:pPr>
              <w:pStyle w:val="Compact"/>
            </w:pPr>
            <w:r>
              <w:rPr>
                <w:rStyle w:val="VerbatimChar"/>
              </w:rPr>
              <w:t xml:space="preserve">read_only: true</w:t>
            </w:r>
            <w:r>
              <w:t xml:space="preserve"> </w:t>
            </w:r>
            <w:r>
              <w:t xml:space="preserve">+ Targeted</w:t>
            </w:r>
            <w:r>
              <w:t xml:space="preserve"> </w:t>
            </w:r>
            <w:r>
              <w:rPr>
                <w:rStyle w:val="VerbatimChar"/>
              </w:rPr>
              <w:t xml:space="preserve">tmpfs</w:t>
            </w:r>
          </w:p>
        </w:tc>
        <w:tc>
          <w:tcPr/>
          <w:p>
            <w:pPr>
              <w:pStyle w:val="Compact"/>
            </w:pPr>
            <w:r>
              <w:t xml:space="preserve">Root-FS nicht beschreibbar; nur deklarierte Pfade (</w:t>
            </w:r>
            <w:r>
              <w:rPr>
                <w:rStyle w:val="VerbatimChar"/>
              </w:rPr>
              <w:t xml:space="preserve">/tmp</w:t>
            </w:r>
            <w:r>
              <w:t xml:space="preserve">, nginx-Caches, postgres) schreibbar. Keycloak ausgenommen (Dev</w:t>
            </w:r>
            <w:r>
              <w:t xml:space="preserve"> </w:t>
            </w:r>
            <w:r>
              <w:rPr>
                <w:rStyle w:val="VerbatimChar"/>
              </w:rPr>
              <w:t xml:space="preserve">start-dev</w:t>
            </w:r>
            <w:r>
              <w:t xml:space="preserve">) und persistiert — wie in Prod — in einer dedizierten</w:t>
            </w:r>
            <w:r>
              <w:t xml:space="preserve"> </w:t>
            </w:r>
            <w:r>
              <w:rPr>
                <w:rStyle w:val="VerbatimChar"/>
              </w:rPr>
              <w:t xml:space="preserve">keycloak</w:t>
            </w:r>
            <w:r>
              <w:t xml:space="preserve">-Postgres-DB auf derselben Instanz (</w:t>
            </w:r>
            <w:r>
              <w:rPr>
                <w:rStyle w:val="VerbatimChar"/>
              </w:rPr>
              <w:t xml:space="preserve">--db=postgres</w:t>
            </w:r>
            <w:r>
              <w:t xml:space="preserve">; angelegt via</w:t>
            </w:r>
            <w:r>
              <w:t xml:space="preserve"> </w:t>
            </w:r>
            <w:r>
              <w:rPr>
                <w:rStyle w:val="VerbatimChar"/>
              </w:rPr>
              <w:t xml:space="preserve">docker/db/init/01-create-keycloak-db.sh</w:t>
            </w:r>
            <w:r>
              <w:t xml:space="preserve">).</w:t>
            </w:r>
          </w:p>
        </w:tc>
      </w:tr>
      <w:tr>
        <w:tc>
          <w:tcPr/>
          <w:p>
            <w:pPr>
              <w:pStyle w:val="Compact"/>
            </w:pPr>
            <w:r>
              <w:rPr>
                <w:rStyle w:val="VerbatimChar"/>
              </w:rPr>
              <w:t xml:space="preserve">cap_drop: [ALL]</w:t>
            </w:r>
          </w:p>
        </w:tc>
        <w:tc>
          <w:tcPr/>
          <w:p>
            <w:pPr>
              <w:pStyle w:val="Compact"/>
            </w:pPr>
            <w:r>
              <w:t xml:space="preserve">Alle Capabilities entfernt; nur</w:t>
            </w:r>
            <w:r>
              <w:t xml:space="preserve"> </w:t>
            </w:r>
            <w:r>
              <w:rPr>
                <w:rStyle w:val="VerbatimChar"/>
              </w:rPr>
              <w:t xml:space="preserve">postgres</w:t>
            </w:r>
            <w:r>
              <w:t xml:space="preserve"> </w:t>
            </w:r>
            <w:r>
              <w:t xml:space="preserve">behält die für</w:t>
            </w:r>
            <w:r>
              <w:t xml:space="preserve"> </w:t>
            </w:r>
            <w:r>
              <w:rPr>
                <w:rStyle w:val="VerbatimChar"/>
              </w:rPr>
              <w:t xml:space="preserve">initdb</w:t>
            </w:r>
            <w:r>
              <w:t xml:space="preserve">/</w:t>
            </w:r>
            <w:r>
              <w:rPr>
                <w:rStyle w:val="VerbatimChar"/>
              </w:rPr>
              <w:t xml:space="preserve">chown</w:t>
            </w:r>
            <w:r>
              <w:t xml:space="preserve"> </w:t>
            </w:r>
            <w:r>
              <w:t xml:space="preserve">nötigen.</w:t>
            </w:r>
          </w:p>
        </w:tc>
      </w:tr>
      <w:tr>
        <w:tc>
          <w:tcPr/>
          <w:p>
            <w:pPr>
              <w:pStyle w:val="Compact"/>
            </w:pPr>
            <w:r>
              <w:rPr>
                <w:rStyle w:val="VerbatimChar"/>
              </w:rPr>
              <w:t xml:space="preserve">security_opt: [no-new-privileges:true]</w:t>
            </w:r>
          </w:p>
        </w:tc>
        <w:tc>
          <w:tcPr/>
          <w:p>
            <w:pPr>
              <w:pStyle w:val="Compact"/>
            </w:pPr>
            <w:r>
              <w:t xml:space="preserve">Keine Rechte-Eskalation über</w:t>
            </w:r>
            <w:r>
              <w:t xml:space="preserve"> </w:t>
            </w:r>
            <w:r>
              <w:rPr>
                <w:rStyle w:val="VerbatimChar"/>
              </w:rPr>
              <w:t xml:space="preserve">setuid</w:t>
            </w:r>
            <w:r>
              <w:t xml:space="preserve">.</w:t>
            </w:r>
          </w:p>
        </w:tc>
      </w:tr>
      <w:tr>
        <w:tc>
          <w:tcPr/>
          <w:p>
            <w:pPr>
              <w:pStyle w:val="Compact"/>
            </w:pPr>
            <w:r>
              <w:rPr>
                <w:rStyle w:val="VerbatimChar"/>
              </w:rPr>
              <w:t xml:space="preserve">mem_limit</w:t>
            </w:r>
            <w:r>
              <w:t xml:space="preserve"> </w:t>
            </w:r>
            <w:r>
              <w:t xml:space="preserve">+</w:t>
            </w:r>
            <w:r>
              <w:t xml:space="preserve"> </w:t>
            </w:r>
            <w:r>
              <w:rPr>
                <w:rStyle w:val="VerbatimChar"/>
              </w:rPr>
              <w:t xml:space="preserve">cpus</w:t>
            </w:r>
          </w:p>
        </w:tc>
        <w:tc>
          <w:tcPr/>
          <w:p>
            <w:pPr>
              <w:pStyle w:val="Compact"/>
            </w:pPr>
            <w:r>
              <w:t xml:space="preserve">Ressourcen-Limits je Service (gegen Container-übergreifende DoS).</w:t>
            </w:r>
          </w:p>
        </w:tc>
      </w:tr>
      <w:tr>
        <w:tc>
          <w:tcPr/>
          <w:p>
            <w:pPr>
              <w:pStyle w:val="Compact"/>
            </w:pPr>
            <w:r>
              <w:rPr>
                <w:rStyle w:val="VerbatimChar"/>
              </w:rPr>
              <w:t xml:space="preserve">HEALTHCHECK</w:t>
            </w:r>
          </w:p>
        </w:tc>
        <w:tc>
          <w:tcPr/>
          <w:p>
            <w:pPr>
              <w:pStyle w:val="Compact"/>
            </w:pPr>
            <w:r>
              <w:rPr>
                <w:rStyle w:val="VerbatimChar"/>
              </w:rPr>
              <w:t xml:space="preserve">backend</w:t>
            </w:r>
            <w:r>
              <w:t xml:space="preserve"> </w:t>
            </w:r>
            <w:r>
              <w:t xml:space="preserve">prüft</w:t>
            </w:r>
            <w:r>
              <w:t xml:space="preserve"> </w:t>
            </w:r>
            <w:r>
              <w:rPr>
                <w:rStyle w:val="VerbatimChar"/>
              </w:rPr>
              <w:t xml:space="preserve">/actuator/health</w:t>
            </w:r>
            <w:r>
              <w:t xml:space="preserve">,</w:t>
            </w:r>
            <w:r>
              <w:t xml:space="preserve"> </w:t>
            </w:r>
            <w:r>
              <w:rPr>
                <w:rStyle w:val="VerbatimChar"/>
              </w:rPr>
              <w:t xml:space="preserve">frontend</w:t>
            </w:r>
            <w:r>
              <w:t xml:space="preserve"> </w:t>
            </w:r>
            <w:r>
              <w:t xml:space="preserve">den Root-Path.</w:t>
            </w:r>
          </w:p>
        </w:tc>
      </w:tr>
    </w:tbl>
    <w:p>
      <w:pPr>
        <w:pStyle w:val="BodyText"/>
      </w:pPr>
      <w:r>
        <w:t xml:space="preserve">Die Frontend-Portumlegung (Host 80 → Container 8080) folgt aus dem Wechsel auf</w:t>
      </w:r>
      <w:r>
        <w:t xml:space="preserve"> </w:t>
      </w:r>
      <w:r>
        <w:rPr>
          <w:rStyle w:val="VerbatimChar"/>
        </w:rPr>
        <w:t xml:space="preserve">nginx-unprivileged</w:t>
      </w:r>
      <w:r>
        <w:t xml:space="preserve"> </w:t>
      </w:r>
      <w:r>
        <w:t xml:space="preserve">(kein Privileged Bind &lt; 1024).</w:t>
      </w:r>
    </w:p>
    <w:bookmarkEnd w:id="65"/>
    <w:bookmarkStart w:id="66" w:name="security-header-im-nginx-stride-t1"/>
    <w:p>
      <w:pPr>
        <w:pStyle w:val="Heading3"/>
      </w:pPr>
      <w:r>
        <w:t xml:space="preserve">7.1.2 Security-Header im nginx (STRIDE T1)</w:t>
      </w:r>
    </w:p>
    <w:p>
      <w:pPr>
        <w:pStyle w:val="FirstParagraph"/>
      </w:pPr>
      <w:r>
        <w:t xml:space="preserve">Der nginx setzt auf jeder Antwort (Server-Scope,</w:t>
      </w:r>
      <w:r>
        <w:t xml:space="preserve"> </w:t>
      </w:r>
      <w:r>
        <w:rPr>
          <w:rStyle w:val="VerbatimChar"/>
        </w:rPr>
        <w:t xml:space="preserve">always</w:t>
      </w:r>
      <w:r>
        <w:t xml:space="preserve">) folgende Header:</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Header</w:t>
            </w:r>
          </w:p>
        </w:tc>
        <w:tc>
          <w:tcPr/>
          <w:p>
            <w:pPr>
              <w:pStyle w:val="Compact"/>
            </w:pPr>
            <w:r>
              <w:t xml:space="preserve">Wert (Kurz)</w:t>
            </w:r>
          </w:p>
        </w:tc>
        <w:tc>
          <w:tcPr/>
          <w:p>
            <w:pPr>
              <w:pStyle w:val="Compact"/>
            </w:pPr>
            <w:r>
              <w:t xml:space="preserve">Wirkung</w:t>
            </w:r>
          </w:p>
        </w:tc>
      </w:tr>
      <w:tr>
        <w:tc>
          <w:tcPr/>
          <w:p>
            <w:pPr>
              <w:pStyle w:val="Compact"/>
            </w:pPr>
            <w:r>
              <w:rPr>
                <w:rStyle w:val="VerbatimChar"/>
              </w:rPr>
              <w:t xml:space="preserve">Strict-Transport-Security</w:t>
            </w:r>
          </w:p>
        </w:tc>
        <w:tc>
          <w:tcPr/>
          <w:p>
            <w:pPr>
              <w:pStyle w:val="Compact"/>
            </w:pPr>
            <w:r>
              <w:rPr>
                <w:rStyle w:val="VerbatimChar"/>
              </w:rPr>
              <w:t xml:space="preserve">max-age=31536000; includeSubDomains; preload</w:t>
            </w:r>
          </w:p>
        </w:tc>
        <w:tc>
          <w:tcPr/>
          <w:p>
            <w:pPr>
              <w:pStyle w:val="Compact"/>
            </w:pPr>
            <w:r>
              <w:t xml:space="preserve">Erzwingt HTTPS (greift hinter TLS-Terminator).</w:t>
            </w:r>
          </w:p>
        </w:tc>
      </w:tr>
      <w:tr>
        <w:tc>
          <w:tcPr/>
          <w:p>
            <w:pPr>
              <w:pStyle w:val="Compact"/>
            </w:pPr>
            <w:r>
              <w:rPr>
                <w:rStyle w:val="VerbatimChar"/>
              </w:rPr>
              <w:t xml:space="preserve">Content-Security-Policy</w:t>
            </w:r>
          </w:p>
        </w:tc>
        <w:tc>
          <w:tcPr/>
          <w:p>
            <w:pPr>
              <w:pStyle w:val="Compact"/>
            </w:pPr>
            <w:r>
              <w:rPr>
                <w:rStyle w:val="VerbatimChar"/>
              </w:rPr>
              <w:t xml:space="preserve">default-src 'self'</w:t>
            </w:r>
            <w:r>
              <w:t xml:space="preserve">,</w:t>
            </w:r>
            <w:r>
              <w:t xml:space="preserve"> </w:t>
            </w:r>
            <w:r>
              <w:rPr>
                <w:rStyle w:val="VerbatimChar"/>
              </w:rPr>
              <w:t xml:space="preserve">script-src 'self'</w:t>
            </w:r>
            <w:r>
              <w:t xml:space="preserve">, Keycloak-Realm in</w:t>
            </w:r>
            <w:r>
              <w:t xml:space="preserve"> </w:t>
            </w:r>
            <w:r>
              <w:rPr>
                <w:rStyle w:val="VerbatimChar"/>
              </w:rPr>
              <w:t xml:space="preserve">connect-src</w:t>
            </w:r>
            <w:r>
              <w:t xml:space="preserve">/</w:t>
            </w:r>
            <w:r>
              <w:rPr>
                <w:rStyle w:val="VerbatimChar"/>
              </w:rPr>
              <w:t xml:space="preserve">form-action</w:t>
            </w:r>
            <w:r>
              <w:t xml:space="preserve">,</w:t>
            </w:r>
            <w:r>
              <w:t xml:space="preserve"> </w:t>
            </w:r>
            <w:r>
              <w:rPr>
                <w:rStyle w:val="VerbatimChar"/>
              </w:rPr>
              <w:t xml:space="preserve">frame-ancestors 'none'</w:t>
            </w:r>
            <w:r>
              <w:t xml:space="preserve">,</w:t>
            </w:r>
            <w:r>
              <w:t xml:space="preserve"> </w:t>
            </w:r>
            <w:r>
              <w:rPr>
                <w:rStyle w:val="VerbatimChar"/>
              </w:rPr>
              <w:t xml:space="preserve">object-src 'none'</w:t>
            </w:r>
          </w:p>
        </w:tc>
        <w:tc>
          <w:tcPr/>
          <w:p>
            <w:pPr>
              <w:pStyle w:val="Compact"/>
            </w:pPr>
            <w:r>
              <w:t xml:space="preserve">XSS-/Clickjacking-Mitigation.</w:t>
            </w:r>
            <w:r>
              <w:t xml:space="preserve"> </w:t>
            </w:r>
            <w:r>
              <w:rPr>
                <w:rStyle w:val="VerbatimChar"/>
              </w:rPr>
              <w:t xml:space="preserve">'unsafe-inline'</w:t>
            </w:r>
            <w:r>
              <w:t xml:space="preserve"> </w:t>
            </w:r>
            <w:r>
              <w:t xml:space="preserve">bei</w:t>
            </w:r>
            <w:r>
              <w:t xml:space="preserve"> </w:t>
            </w:r>
            <w:r>
              <w:rPr>
                <w:rStyle w:val="VerbatimChar"/>
              </w:rPr>
              <w:t xml:space="preserve">style-src</w:t>
            </w:r>
            <w:r>
              <w:t xml:space="preserve"> </w:t>
            </w:r>
            <w:r>
              <w:t xml:space="preserve">nötig für Angular Materials Runtime-Styles.</w:t>
            </w:r>
          </w:p>
        </w:tc>
      </w:tr>
      <w:tr>
        <w:tc>
          <w:tcPr/>
          <w:p>
            <w:pPr>
              <w:pStyle w:val="Compact"/>
            </w:pPr>
            <w:r>
              <w:rPr>
                <w:rStyle w:val="VerbatimChar"/>
              </w:rPr>
              <w:t xml:space="preserve">X-Content-Type-Options</w:t>
            </w:r>
          </w:p>
        </w:tc>
        <w:tc>
          <w:tcPr/>
          <w:p>
            <w:pPr>
              <w:pStyle w:val="Compact"/>
            </w:pPr>
            <w:r>
              <w:rPr>
                <w:rStyle w:val="VerbatimChar"/>
              </w:rPr>
              <w:t xml:space="preserve">nosniff</w:t>
            </w:r>
          </w:p>
        </w:tc>
        <w:tc>
          <w:tcPr/>
          <w:p>
            <w:pPr>
              <w:pStyle w:val="Compact"/>
            </w:pPr>
            <w:r>
              <w:t xml:space="preserve">Kein MIME-Sniffing.</w:t>
            </w:r>
          </w:p>
        </w:tc>
      </w:tr>
      <w:tr>
        <w:tc>
          <w:tcPr/>
          <w:p>
            <w:pPr>
              <w:pStyle w:val="Compact"/>
            </w:pPr>
            <w:r>
              <w:rPr>
                <w:rStyle w:val="VerbatimChar"/>
              </w:rPr>
              <w:t xml:space="preserve">Referrer-Policy</w:t>
            </w:r>
          </w:p>
        </w:tc>
        <w:tc>
          <w:tcPr/>
          <w:p>
            <w:pPr>
              <w:pStyle w:val="Compact"/>
            </w:pPr>
            <w:r>
              <w:rPr>
                <w:rStyle w:val="VerbatimChar"/>
              </w:rPr>
              <w:t xml:space="preserve">strict-origin-when-cross-origin</w:t>
            </w:r>
          </w:p>
        </w:tc>
        <w:tc>
          <w:tcPr/>
          <w:p>
            <w:pPr>
              <w:pStyle w:val="Compact"/>
            </w:pPr>
            <w:r>
              <w:t xml:space="preserve">Kein Referrer-Leak.</w:t>
            </w:r>
          </w:p>
        </w:tc>
      </w:tr>
      <w:tr>
        <w:tc>
          <w:tcPr/>
          <w:p>
            <w:pPr>
              <w:pStyle w:val="Compact"/>
            </w:pPr>
            <w:r>
              <w:rPr>
                <w:rStyle w:val="VerbatimChar"/>
              </w:rPr>
              <w:t xml:space="preserve">Permissions-Policy</w:t>
            </w:r>
          </w:p>
        </w:tc>
        <w:tc>
          <w:tcPr/>
          <w:p>
            <w:pPr>
              <w:pStyle w:val="Compact"/>
            </w:pPr>
            <w:r>
              <w:rPr>
                <w:rStyle w:val="VerbatimChar"/>
              </w:rPr>
              <w:t xml:space="preserve">camera=(), microphone=(), geolocation=(), …</w:t>
            </w:r>
          </w:p>
        </w:tc>
        <w:tc>
          <w:tcPr/>
          <w:p>
            <w:pPr>
              <w:pStyle w:val="Compact"/>
            </w:pPr>
            <w:r>
              <w:t xml:space="preserve">Sperrt ungenutzte Browser-APIs.</w:t>
            </w:r>
          </w:p>
        </w:tc>
      </w:tr>
    </w:tbl>
    <w:bookmarkEnd w:id="66"/>
    <w:bookmarkStart w:id="67" w:name="X1076f8be5823071e546bff38fe6ac4bcfb743c9"/>
    <w:p>
      <w:pPr>
        <w:pStyle w:val="Heading3"/>
      </w:pPr>
      <w:r>
        <w:t xml:space="preserve">7.1.3 Rate-Limits + E-Mail-Verifizierung (STRIDE D1+D2+S2)</w:t>
      </w:r>
    </w:p>
    <w:p>
      <w:pPr>
        <w:pStyle w:val="FirstParagraph"/>
      </w:pPr>
      <w:r>
        <w:t xml:space="preserve">Der kostenpflichtige KI-Endpoint kombiniert mit offener Self-Registration ergibt ein finanzielles DoS-Risiko. Drei Schutzschichten:</w:t>
      </w:r>
    </w:p>
    <w:p>
      <w:pPr>
        <w:pStyle w:val="Compact"/>
        <w:numPr>
          <w:ilvl w:val="0"/>
          <w:numId w:val="1005"/>
        </w:numPr>
      </w:pPr>
      <w:r>
        <w:rPr>
          <w:b/>
          <w:bCs/>
        </w:rPr>
        <w:t xml:space="preserve">Per-User-Token-Bucket</w:t>
      </w:r>
      <w:r>
        <w:t xml:space="preserve"> </w:t>
      </w:r>
      <w:r>
        <w:t xml:space="preserve">(</w:t>
      </w:r>
      <w:r>
        <w:rPr>
          <w:rStyle w:val="VerbatimChar"/>
        </w:rPr>
        <w:t xml:space="preserve">AnalysisRateLimiter</w:t>
      </w:r>
      <w:r>
        <w:t xml:space="preserve">, Bucket4j): 5 Aufrufe/Tag</w:t>
      </w:r>
      <w:r>
        <w:t xml:space="preserve"> </w:t>
      </w:r>
      <w:r>
        <w:rPr>
          <w:b/>
          <w:bCs/>
        </w:rPr>
        <w:t xml:space="preserve">und</w:t>
      </w:r>
      <w:r>
        <w:t xml:space="preserve"> </w:t>
      </w:r>
      <w:r>
        <w:t xml:space="preserve">1/Minute pro Nutzer. Bei Ablehnung HTTP</w:t>
      </w:r>
      <w:r>
        <w:t xml:space="preserve"> </w:t>
      </w:r>
      <w:r>
        <w:rPr>
          <w:b/>
          <w:bCs/>
        </w:rPr>
        <w:t xml:space="preserve">429</w:t>
      </w:r>
      <w:r>
        <w:t xml:space="preserve"> </w:t>
      </w:r>
      <w:r>
        <w:t xml:space="preserve">mit</w:t>
      </w:r>
      <w:r>
        <w:t xml:space="preserve"> </w:t>
      </w:r>
      <w:r>
        <w:rPr>
          <w:rStyle w:val="VerbatimChar"/>
        </w:rPr>
        <w:t xml:space="preserve">Retry-After</w:t>
      </w:r>
      <w:r>
        <w:t xml:space="preserve"> </w:t>
      </w:r>
      <w:r>
        <w:t xml:space="preserve">(RFC-7807). Micrometer-Counter</w:t>
      </w:r>
      <w:r>
        <w:t xml:space="preserve"> </w:t>
      </w:r>
      <w:r>
        <w:rPr>
          <w:rStyle w:val="VerbatimChar"/>
        </w:rPr>
        <w:t xml:space="preserve">tsas.ai.calls.total{outcome,user}</w:t>
      </w:r>
      <w:r>
        <w:t xml:space="preserve">.</w:t>
      </w:r>
    </w:p>
    <w:p>
      <w:pPr>
        <w:pStyle w:val="Compact"/>
        <w:numPr>
          <w:ilvl w:val="0"/>
          <w:numId w:val="1005"/>
        </w:numPr>
      </w:pPr>
      <w:r>
        <w:rPr>
          <w:b/>
          <w:bCs/>
        </w:rPr>
        <w:t xml:space="preserve">Per-IP-Limit im nginx</w:t>
      </w:r>
      <w:r>
        <w:t xml:space="preserve"> </w:t>
      </w:r>
      <w:r>
        <w:t xml:space="preserve">(</w:t>
      </w:r>
      <w:r>
        <w:rPr>
          <w:rStyle w:val="VerbatimChar"/>
        </w:rPr>
        <w:t xml:space="preserve">limit_req_zone</w:t>
      </w:r>
      <w:r>
        <w:t xml:space="preserve">,</w:t>
      </w:r>
      <w:r>
        <w:t xml:space="preserve"> </w:t>
      </w:r>
      <w:r>
        <w:rPr>
          <w:rStyle w:val="VerbatimChar"/>
        </w:rPr>
        <w:t xml:space="preserve">5r/m, burst=5, nodelay</w:t>
      </w:r>
      <w:r>
        <w:t xml:space="preserve">) auf der Analysis-Location; überzählige Requests → HTTP</w:t>
      </w:r>
      <w:r>
        <w:t xml:space="preserve"> </w:t>
      </w:r>
      <w:r>
        <w:rPr>
          <w:b/>
          <w:bCs/>
        </w:rPr>
        <w:t xml:space="preserve">429</w:t>
      </w:r>
      <w:r>
        <w:t xml:space="preserve"> </w:t>
      </w:r>
      <w:r>
        <w:t xml:space="preserve">ohne Backend-Treffer.</w:t>
      </w:r>
    </w:p>
    <w:p>
      <w:pPr>
        <w:pStyle w:val="Compact"/>
        <w:numPr>
          <w:ilvl w:val="0"/>
          <w:numId w:val="1005"/>
        </w:numPr>
      </w:pPr>
      <w:r>
        <w:rPr>
          <w:b/>
          <w:bCs/>
        </w:rPr>
        <w:t xml:space="preserve">E-Mail-Verifizierung</w:t>
      </w:r>
      <w:r>
        <w:t xml:space="preserve"> </w:t>
      </w:r>
      <w:r>
        <w:t xml:space="preserve">beim Keycloak-Self-Registration (</w:t>
      </w:r>
      <w:r>
        <w:rPr>
          <w:rStyle w:val="VerbatimChar"/>
        </w:rPr>
        <w:t xml:space="preserve">verifyEmail: true</w:t>
      </w:r>
      <w:r>
        <w:t xml:space="preserve"> </w:t>
      </w:r>
      <w:r>
        <w:t xml:space="preserve">+ SMTP gegen Mailhog im Dev). Verhindert endlose Neu-Registrierung zum Umgehen der Limits. SMTP über</w:t>
      </w:r>
      <w:r>
        <w:t xml:space="preserve"> </w:t>
      </w:r>
      <w:r>
        <w:rPr>
          <w:rStyle w:val="VerbatimChar"/>
        </w:rPr>
        <w:t xml:space="preserve">${KC_SMTP_*}</w:t>
      </w:r>
      <w:r>
        <w:t xml:space="preserve"> </w:t>
      </w:r>
      <w:r>
        <w:t xml:space="preserve">parametrisiert (Dev = Mailhog, Prod via Env-Vars).</w:t>
      </w:r>
    </w:p>
    <w:p>
      <w:pPr>
        <w:pStyle w:val="FirstParagraph"/>
      </w:pPr>
      <w:r>
        <w:t xml:space="preserve">Verifiziert via</w:t>
      </w:r>
      <w:r>
        <w:t xml:space="preserve"> </w:t>
      </w:r>
      <w:r>
        <w:rPr>
          <w:rStyle w:val="VerbatimChar"/>
        </w:rPr>
        <w:t xml:space="preserve">MatchAnalysisRateLimitIT</w:t>
      </w:r>
      <w:r>
        <w:t xml:space="preserve"> </w:t>
      </w:r>
      <w:r>
        <w:t xml:space="preserve">(3. POST → 429 mit korrektem</w:t>
      </w:r>
      <w:r>
        <w:t xml:space="preserve"> </w:t>
      </w:r>
      <w:r>
        <w:rPr>
          <w:rStyle w:val="VerbatimChar"/>
        </w:rPr>
        <w:t xml:space="preserve">Retry-After</w:t>
      </w:r>
      <w:r>
        <w:t xml:space="preserve">).</w:t>
      </w:r>
    </w:p>
    <w:bookmarkEnd w:id="67"/>
    <w:bookmarkStart w:id="68" w:name="Xb0181a0f62b9f3064a175f2529f72aa5b101adb"/>
    <w:p>
      <w:pPr>
        <w:pStyle w:val="Heading3"/>
      </w:pPr>
      <w:r>
        <w:t xml:space="preserve">7.1.4 TLS &amp; Secret-Hygiene im Prod-Overlay (STRIDE T1+S3+S4+I3+D6)</w:t>
      </w:r>
    </w:p>
    <w:p>
      <w:pPr>
        <w:pStyle w:val="FirstParagraph"/>
      </w:pPr>
      <w:r>
        <w:t xml:space="preserve">Der Basis-</w:t>
      </w:r>
      <w:r>
        <w:rPr>
          <w:rStyle w:val="VerbatimChar"/>
        </w:rPr>
        <w:t xml:space="preserve">compose.yml</w:t>
      </w:r>
      <w:r>
        <w:t xml:space="preserve"> </w:t>
      </w:r>
      <w:r>
        <w:t xml:space="preserve">ist auf Dev getrimmt (Default-Credentials, Mailhog, Keycloak</w:t>
      </w:r>
      <w:r>
        <w:t xml:space="preserve"> </w:t>
      </w:r>
      <w:r>
        <w:rPr>
          <w:rStyle w:val="VerbatimChar"/>
        </w:rPr>
        <w:t xml:space="preserve">start-dev</w:t>
      </w:r>
      <w:r>
        <w:t xml:space="preserve">, nginx HTTP). Der Overlay</w:t>
      </w:r>
      <w:r>
        <w:t xml:space="preserve"> </w:t>
      </w:r>
      <w:r>
        <w:rPr>
          <w:rStyle w:val="VerbatimChar"/>
        </w:rPr>
        <w:t xml:space="preserve">docker/compose.prod.yml</w:t>
      </w:r>
      <w:r>
        <w:t xml:space="preserve"> </w:t>
      </w:r>
      <w:r>
        <w:t xml:space="preserve">mitigiert die STRIDE-Befunde: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Komponente</w:t>
            </w:r>
          </w:p>
        </w:tc>
        <w:tc>
          <w:tcPr/>
          <w:p>
            <w:pPr>
              <w:pStyle w:val="Compact"/>
            </w:pPr>
            <w:r>
              <w:t xml:space="preserve">Massnahme</w:t>
            </w:r>
          </w:p>
        </w:tc>
      </w:tr>
      <w:tr>
        <w:tc>
          <w:tcPr/>
          <w:p>
            <w:pPr>
              <w:pStyle w:val="Compact"/>
            </w:pPr>
            <w:r>
              <w:rPr>
                <w:b/>
                <w:bCs/>
              </w:rPr>
              <w:t xml:space="preserve">nginx</w:t>
            </w:r>
            <w:r>
              <w:t xml:space="preserve"> </w:t>
            </w:r>
            <w:r>
              <w:t xml:space="preserve">(</w:t>
            </w:r>
            <w:r>
              <w:rPr>
                <w:rStyle w:val="VerbatimChar"/>
              </w:rPr>
              <w:t xml:space="preserve">nginx.prod.conf</w:t>
            </w:r>
            <w:r>
              <w:t xml:space="preserve">)</w:t>
            </w:r>
          </w:p>
        </w:tc>
        <w:tc>
          <w:tcPr/>
          <w:p>
            <w:pPr>
              <w:pStyle w:val="Compact"/>
            </w:pPr>
            <w:r>
              <w:t xml:space="preserve">TLS auf 8443 (Host 443); Port 8080 nur HTTP-301-Redirect. Cert-Mount via</w:t>
            </w:r>
            <w:r>
              <w:t xml:space="preserve"> </w:t>
            </w:r>
            <w:r>
              <w:rPr>
                <w:rStyle w:val="VerbatimChar"/>
              </w:rPr>
              <w:t xml:space="preserve">${TLS_CERT_DIR}/tls.{crt,key}</w:t>
            </w:r>
            <w:r>
              <w:t xml:space="preserve">. Security-Header bleiben aktiv.</w:t>
            </w:r>
          </w:p>
        </w:tc>
      </w:tr>
      <w:tr>
        <w:tc>
          <w:tcPr/>
          <w:p>
            <w:pPr>
              <w:pStyle w:val="Compact"/>
            </w:pPr>
            <w:r>
              <w:rPr>
                <w:b/>
                <w:bCs/>
              </w:rPr>
              <w:t xml:space="preserve">Keycloak</w:t>
            </w:r>
          </w:p>
        </w:tc>
        <w:tc>
          <w:tcPr/>
          <w:p>
            <w:pPr>
              <w:pStyle w:val="Compact"/>
            </w:pPr>
            <w:r>
              <w:rPr>
                <w:rStyle w:val="VerbatimChar"/>
              </w:rPr>
              <w:t xml:space="preserve">start --hostname … --proxy-headers=xforwarded --db=postgres …</w:t>
            </w:r>
            <w:r>
              <w:t xml:space="preserve"> </w:t>
            </w:r>
            <w:r>
              <w:t xml:space="preserve">(Prod-Modus, eigene Postgres-DB); Bootstrap-Admin via Env, keine Defaults.</w:t>
            </w:r>
          </w:p>
        </w:tc>
      </w:tr>
      <w:tr>
        <w:tc>
          <w:tcPr/>
          <w:p>
            <w:pPr>
              <w:pStyle w:val="Compact"/>
            </w:pPr>
            <w:r>
              <w:rPr>
                <w:b/>
                <w:bCs/>
              </w:rPr>
              <w:t xml:space="preserve">Postgres</w:t>
            </w:r>
          </w:p>
        </w:tc>
        <w:tc>
          <w:tcPr/>
          <w:p>
            <w:pPr>
              <w:pStyle w:val="Compact"/>
            </w:pPr>
            <w:r>
              <w:rPr>
                <w:rStyle w:val="VerbatimChar"/>
              </w:rPr>
              <w:t xml:space="preserve">${DB_PASSWORD:?…}</w:t>
            </w:r>
            <w:r>
              <w:t xml:space="preserve"> </w:t>
            </w:r>
            <w:r>
              <w:t xml:space="preserve">bricht ohne Passwort ab; Init-Script legt Keycloak-DB + -User an; kein Host-Port.</w:t>
            </w:r>
          </w:p>
        </w:tc>
      </w:tr>
      <w:tr>
        <w:tc>
          <w:tcPr/>
          <w:p>
            <w:pPr>
              <w:pStyle w:val="Compact"/>
            </w:pPr>
            <w:r>
              <w:rPr>
                <w:b/>
                <w:bCs/>
              </w:rPr>
              <w:t xml:space="preserve">Backend</w:t>
            </w:r>
          </w:p>
        </w:tc>
        <w:tc>
          <w:tcPr/>
          <w:p>
            <w:pPr>
              <w:pStyle w:val="Compact"/>
            </w:pPr>
            <w:r>
              <w:rPr>
                <w:rStyle w:val="VerbatimChar"/>
              </w:rPr>
              <w:t xml:space="preserve">OPENAI_API_KEY</w:t>
            </w:r>
            <w:r>
              <w:t xml:space="preserve">,</w:t>
            </w:r>
            <w:r>
              <w:t xml:space="preserve"> </w:t>
            </w:r>
            <w:r>
              <w:rPr>
                <w:rStyle w:val="VerbatimChar"/>
              </w:rPr>
              <w:t xml:space="preserve">DB_*</w:t>
            </w:r>
            <w:r>
              <w:t xml:space="preserve">,</w:t>
            </w:r>
            <w:r>
              <w:t xml:space="preserve"> </w:t>
            </w:r>
            <w:r>
              <w:rPr>
                <w:rStyle w:val="VerbatimChar"/>
              </w:rPr>
              <w:t xml:space="preserve">KEYCLOAK_ISSUER_URI</w:t>
            </w:r>
            <w:r>
              <w:t xml:space="preserve"> </w:t>
            </w:r>
            <w:r>
              <w:t xml:space="preserve">required; kein Host-Port (nur über nginx).</w:t>
            </w:r>
          </w:p>
        </w:tc>
      </w:tr>
      <w:tr>
        <w:tc>
          <w:tcPr/>
          <w:p>
            <w:pPr>
              <w:pStyle w:val="Compact"/>
            </w:pPr>
            <w:r>
              <w:rPr>
                <w:b/>
                <w:bCs/>
              </w:rPr>
              <w:t xml:space="preserve">Mailhog</w:t>
            </w:r>
          </w:p>
        </w:tc>
        <w:tc>
          <w:tcPr/>
          <w:p>
            <w:pPr>
              <w:pStyle w:val="Compact"/>
            </w:pPr>
            <w:r>
              <w:t xml:space="preserve">Entfernt — Prod nutzt echtes SMTP via</w:t>
            </w:r>
            <w:r>
              <w:t xml:space="preserve"> </w:t>
            </w:r>
            <w:r>
              <w:rPr>
                <w:rStyle w:val="VerbatimChar"/>
              </w:rPr>
              <w:t xml:space="preserve">KC_SMTP_*</w:t>
            </w:r>
            <w:r>
              <w:t xml:space="preserve">.</w:t>
            </w:r>
          </w:p>
        </w:tc>
      </w:tr>
    </w:tbl>
    <w:p>
      <w:pPr>
        <w:pStyle w:val="BodyText"/>
      </w:pPr>
      <w:r>
        <w:t xml:space="preserve">Aktivierung:</w:t>
      </w:r>
      <w:r>
        <w:br/>
      </w:r>
      <w:r>
        <w:rPr>
          <w:rStyle w:val="VerbatimChar"/>
        </w:rPr>
        <w:t xml:space="preserve">podman compose -f docker/compose.yml -f docker/compose.prod.yml up -d --build</w:t>
      </w:r>
    </w:p>
    <w:p>
      <w:pPr>
        <w:pStyle w:val="BodyText"/>
      </w:pPr>
      <w:r>
        <w:t xml:space="preserve">(echte Werte via</w:t>
      </w:r>
      <w:r>
        <w:t xml:space="preserve"> </w:t>
      </w:r>
      <w:r>
        <w:rPr>
          <w:rStyle w:val="VerbatimChar"/>
        </w:rPr>
        <w:t xml:space="preserve">.env</w:t>
      </w:r>
      <w:r>
        <w:t xml:space="preserve">; Vorlage</w:t>
      </w:r>
      <w:r>
        <w:t xml:space="preserve"> </w:t>
      </w:r>
      <w:r>
        <w:rPr>
          <w:rStyle w:val="VerbatimChar"/>
        </w:rPr>
        <w:t xml:space="preserve">docker/.env.prod.example</w:t>
      </w:r>
      <w:r>
        <w:t xml:space="preserve">). Cert-Provisionierung (Let’s Encrypt o. ä.) liegt ausserhalb des Overlays.</w:t>
      </w:r>
    </w:p>
    <w:p>
      <w:r>
        <w:pict>
          <v:rect style="width:0;height:1.5pt" o:hralign="center" o:hrstd="t" o:hr="t"/>
        </w:pict>
      </w:r>
    </w:p>
    <w:bookmarkEnd w:id="68"/>
    <w:bookmarkEnd w:id="69"/>
    <w:bookmarkStart w:id="79" w:name="querschnittliche-konzepte"/>
    <w:p>
      <w:pPr>
        <w:pStyle w:val="Heading2"/>
      </w:pPr>
      <w:r>
        <w:t xml:space="preserve">8. Querschnittliche Konzepte</w:t>
      </w:r>
    </w:p>
    <w:bookmarkStart w:id="70" w:name="sicherheitskonzept"/>
    <w:p>
      <w:pPr>
        <w:pStyle w:val="Heading3"/>
      </w:pPr>
      <w:r>
        <w:t xml:space="preserve">8.1 Sicherheitskonzept</w:t>
      </w:r>
    </w:p>
    <w:p>
      <w:pPr>
        <w:pStyle w:val="FirstParagraph"/>
      </w:pPr>
      <w:r>
        <w:t xml:space="preserve">Alle API-Endpunkte (ausser Health-Check) sind durch OAuth2-Bearer-Tokens geschützt.</w:t>
      </w:r>
      <w:r>
        <w:br/>
      </w:r>
      <w:r>
        <w:t xml:space="preserve">Das Frontend nutzt Authorization Code Flow mit PKCE.</w:t>
      </w:r>
      <w:r>
        <w:br/>
      </w:r>
      <w:r>
        <w:t xml:space="preserve">Keycloak verwaltet Nutzer, Rollen und Sessions (V1 direkte Registrierung, ab zusätzlich V2 Google als federated IDP).</w:t>
      </w:r>
    </w:p>
    <w:p>
      <w:pPr>
        <w:pStyle w:val="Compact"/>
        <w:numPr>
          <w:ilvl w:val="0"/>
          <w:numId w:val="1006"/>
        </w:numPr>
      </w:pPr>
      <w:r>
        <w:rPr>
          <w:b/>
          <w:bCs/>
        </w:rPr>
        <w:t xml:space="preserve">Test-Profil-Guard (STRIDE E2).</w:t>
      </w:r>
      <w:r>
        <w:t xml:space="preserve"> </w:t>
      </w:r>
      <w:r>
        <w:t xml:space="preserve">Der</w:t>
      </w:r>
      <w:r>
        <w:t xml:space="preserve"> </w:t>
      </w:r>
      <w:r>
        <w:rPr>
          <w:rStyle w:val="VerbatimChar"/>
        </w:rPr>
        <w:t xml:space="preserve">permitAll</w:t>
      </w:r>
      <w:r>
        <w:t xml:space="preserve">-</w:t>
      </w:r>
      <w:r>
        <w:rPr>
          <w:rStyle w:val="VerbatimChar"/>
        </w:rPr>
        <w:t xml:space="preserve">SecurityFilterChain</w:t>
      </w:r>
      <w:r>
        <w:t xml:space="preserve"> </w:t>
      </w:r>
      <w:r>
        <w:t xml:space="preserve">für Integrationstests lebt ausschliesslich in</w:t>
      </w:r>
      <w:r>
        <w:t xml:space="preserve"> </w:t>
      </w:r>
      <w:r>
        <w:rPr>
          <w:rStyle w:val="VerbatimChar"/>
        </w:rPr>
        <w:t xml:space="preserve">auth-module/src/testFixtures/</w:t>
      </w:r>
      <w:r>
        <w:t xml:space="preserve"> </w:t>
      </w:r>
      <w:r>
        <w:t xml:space="preserve">(nicht im Boot-Jar). Zusätzlich bricht</w:t>
      </w:r>
      <w:r>
        <w:t xml:space="preserve"> </w:t>
      </w:r>
      <w:r>
        <w:rPr>
          <w:rStyle w:val="VerbatimChar"/>
        </w:rPr>
        <w:t xml:space="preserve">TestProfileGuard</w:t>
      </w:r>
      <w:r>
        <w:t xml:space="preserve"> </w:t>
      </w:r>
      <w:r>
        <w:t xml:space="preserve">(</w:t>
      </w:r>
      <w:r>
        <w:rPr>
          <w:rStyle w:val="VerbatimChar"/>
        </w:rPr>
        <w:t xml:space="preserve">EnvironmentPostProcessor</w:t>
      </w:r>
      <w:r>
        <w:t xml:space="preserve">) den Boot ab, sobald das</w:t>
      </w:r>
      <w:r>
        <w:t xml:space="preserve"> </w:t>
      </w:r>
      <w:r>
        <w:rPr>
          <w:rStyle w:val="VerbatimChar"/>
        </w:rPr>
        <w:t xml:space="preserve">test</w:t>
      </w:r>
      <w:r>
        <w:t xml:space="preserve">-Profil mit</w:t>
      </w:r>
      <w:r>
        <w:t xml:space="preserve"> </w:t>
      </w:r>
      <w:r>
        <w:rPr>
          <w:rStyle w:val="VerbatimChar"/>
        </w:rPr>
        <w:t xml:space="preserve">prod</w:t>
      </w:r>
      <w:r>
        <w:t xml:space="preserve">/</w:t>
      </w:r>
      <w:r>
        <w:rPr>
          <w:rStyle w:val="VerbatimChar"/>
        </w:rPr>
        <w:t xml:space="preserve">docker</w:t>
      </w:r>
      <w:r>
        <w:t xml:space="preserve"> </w:t>
      </w:r>
      <w:r>
        <w:t xml:space="preserve">kombiniert wird oder die Datasource nicht auf In-Memory-H2 zeigt. Acht Unit-Tests decken die Kombinationen ab.</w:t>
      </w:r>
    </w:p>
    <w:p>
      <w:pPr>
        <w:pStyle w:val="Compact"/>
        <w:numPr>
          <w:ilvl w:val="0"/>
          <w:numId w:val="1006"/>
        </w:numPr>
      </w:pPr>
      <w:r>
        <w:rPr>
          <w:b/>
          <w:bCs/>
        </w:rPr>
        <w:t xml:space="preserve">JWT-Validierung (STRIDE S1).</w:t>
      </w:r>
      <w:r>
        <w:t xml:space="preserve"> </w:t>
      </w:r>
      <w:r>
        <w:t xml:space="preserve">Der</w:t>
      </w:r>
      <w:r>
        <w:t xml:space="preserve"> </w:t>
      </w:r>
      <w:r>
        <w:rPr>
          <w:rStyle w:val="VerbatimChar"/>
        </w:rPr>
        <w:t xml:space="preserve">JwtDecoder</w:t>
      </w:r>
      <w:r>
        <w:t xml:space="preserve"> </w:t>
      </w:r>
      <w:r>
        <w:t xml:space="preserve">kombiniert drei Validatoren: (a)</w:t>
      </w:r>
      <w:r>
        <w:t xml:space="preserve"> </w:t>
      </w:r>
      <w:r>
        <w:rPr>
          <w:rStyle w:val="VerbatimChar"/>
        </w:rPr>
        <w:t xml:space="preserve">createDefaultWithIssuer</w:t>
      </w:r>
      <w:r>
        <w:t xml:space="preserve"> </w:t>
      </w:r>
      <w:r>
        <w:t xml:space="preserve">(iss + Default-Claims), (b) JWK-Set-Signaturprüfung, (c)</w:t>
      </w:r>
      <w:r>
        <w:t xml:space="preserve"> </w:t>
      </w:r>
      <w:r>
        <w:rPr>
          <w:rStyle w:val="VerbatimChar"/>
        </w:rPr>
        <w:t xml:space="preserve">JwtClaimValidator("aud", … contains "tsas-frontend")</w:t>
      </w:r>
      <w:r>
        <w:t xml:space="preserve">. Ohne (c) würde jedes Realm-Token akzeptiert. Erwartete Audience via</w:t>
      </w:r>
      <w:r>
        <w:t xml:space="preserve"> </w:t>
      </w:r>
      <w:r>
        <w:rPr>
          <w:rStyle w:val="VerbatimChar"/>
        </w:rPr>
        <w:t xml:space="preserve">tsas.security.expected-audience</w:t>
      </w:r>
      <w:r>
        <w:t xml:space="preserve"> </w:t>
      </w:r>
      <w:r>
        <w:t xml:space="preserve">(Default</w:t>
      </w:r>
      <w:r>
        <w:t xml:space="preserve"> </w:t>
      </w:r>
      <w:r>
        <w:rPr>
          <w:rStyle w:val="VerbatimChar"/>
        </w:rPr>
        <w:t xml:space="preserve">tsas-frontend</w:t>
      </w:r>
      <w:r>
        <w:t xml:space="preserve">), geliefert per Keycloak-</w:t>
      </w:r>
      <w:r>
        <w:rPr>
          <w:rStyle w:val="VerbatimChar"/>
        </w:rPr>
        <w:t xml:space="preserve">oidc-audience-mapper</w:t>
      </w:r>
      <w:r>
        <w:t xml:space="preserve">.</w:t>
      </w:r>
    </w:p>
    <w:p>
      <w:pPr>
        <w:pStyle w:val="Compact"/>
        <w:numPr>
          <w:ilvl w:val="0"/>
          <w:numId w:val="1006"/>
        </w:numPr>
      </w:pPr>
      <w:r>
        <w:rPr>
          <w:b/>
          <w:bCs/>
        </w:rPr>
        <w:t xml:space="preserve">RBAC im Frontend.</w:t>
      </w:r>
      <w:r>
        <w:t xml:space="preserve"> </w:t>
      </w:r>
      <w:r>
        <w:t xml:space="preserve">Backend setzt die Realm-Rollen</w:t>
      </w:r>
      <w:r>
        <w:t xml:space="preserve"> </w:t>
      </w:r>
      <w:r>
        <w:rPr>
          <w:rStyle w:val="VerbatimChar"/>
        </w:rPr>
        <w:t xml:space="preserve">COACH</w:t>
      </w:r>
      <w:r>
        <w:t xml:space="preserve">/</w:t>
      </w:r>
      <w:r>
        <w:rPr>
          <w:rStyle w:val="VerbatimChar"/>
        </w:rPr>
        <w:t xml:space="preserve">ADMIN</w:t>
      </w:r>
      <w:r>
        <w:t xml:space="preserve"> </w:t>
      </w:r>
      <w:r>
        <w:t xml:space="preserve">durch und reicht den JWT-</w:t>
      </w:r>
      <w:r>
        <w:rPr>
          <w:rStyle w:val="VerbatimChar"/>
        </w:rPr>
        <w:t xml:space="preserve">sub</w:t>
      </w:r>
      <w:r>
        <w:t xml:space="preserve"> </w:t>
      </w:r>
      <w:r>
        <w:t xml:space="preserve">als</w:t>
      </w:r>
      <w:r>
        <w:t xml:space="preserve"> </w:t>
      </w:r>
      <w:r>
        <w:rPr>
          <w:rStyle w:val="VerbatimChar"/>
        </w:rPr>
        <w:t xml:space="preserve">owner_id</w:t>
      </w:r>
      <w:r>
        <w:t xml:space="preserve"> </w:t>
      </w:r>
      <w:r>
        <w:t xml:space="preserve">in die Persistenz. Der</w:t>
      </w:r>
      <w:r>
        <w:t xml:space="preserve"> </w:t>
      </w:r>
      <w:r>
        <w:rPr>
          <w:rStyle w:val="VerbatimChar"/>
        </w:rPr>
        <w:t xml:space="preserve">AuthService</w:t>
      </w:r>
      <w:r>
        <w:t xml:space="preserve"> </w:t>
      </w:r>
      <w:r>
        <w:t xml:space="preserve">exponiert</w:t>
      </w:r>
      <w:r>
        <w:t xml:space="preserve"> </w:t>
      </w:r>
      <w:r>
        <w:rPr>
          <w:rStyle w:val="VerbatimChar"/>
        </w:rPr>
        <w:t xml:space="preserve">roles</w:t>
      </w:r>
      <w:r>
        <w:t xml:space="preserve">/</w:t>
      </w:r>
      <w:r>
        <w:rPr>
          <w:rStyle w:val="VerbatimChar"/>
        </w:rPr>
        <w:t xml:space="preserve">isAdmin</w:t>
      </w:r>
      <w:r>
        <w:t xml:space="preserve">/</w:t>
      </w:r>
      <w:r>
        <w:rPr>
          <w:rStyle w:val="VerbatimChar"/>
        </w:rPr>
        <w:t xml:space="preserve">userId</w:t>
      </w:r>
      <w:r>
        <w:t xml:space="preserve"> </w:t>
      </w:r>
      <w:r>
        <w:t xml:space="preserve">als Signals. Daraus: ADMIN-Chip in der Toolbar, Scope-Toggle „Meine/Alle Owner” für Admins (client-seitig auf</w:t>
      </w:r>
      <w:r>
        <w:t xml:space="preserve"> </w:t>
      </w:r>
      <w:r>
        <w:rPr>
          <w:rStyle w:val="VerbatimChar"/>
        </w:rPr>
        <w:t xml:space="preserve">ownerId</w:t>
      </w:r>
      <w:r>
        <w:t xml:space="preserve">),</w:t>
      </w:r>
      <w:r>
        <w:t xml:space="preserve"> </w:t>
      </w:r>
      <w:r>
        <w:rPr>
          <w:rStyle w:val="VerbatimChar"/>
        </w:rPr>
        <w:t xml:space="preserve">ownerId</w:t>
      </w:r>
      <w:r>
        <w:t xml:space="preserve"> </w:t>
      </w:r>
      <w:r>
        <w:t xml:space="preserve">in</w:t>
      </w:r>
      <w:r>
        <w:t xml:space="preserve"> </w:t>
      </w:r>
      <w:r>
        <w:rPr>
          <w:rStyle w:val="VerbatimChar"/>
        </w:rPr>
        <w:t xml:space="preserve">PlayerResponse</w:t>
      </w:r>
      <w:r>
        <w:t xml:space="preserve">/</w:t>
      </w:r>
      <w:r>
        <w:rPr>
          <w:rStyle w:val="VerbatimChar"/>
        </w:rPr>
        <w:t xml:space="preserve">MatchResponse</w:t>
      </w:r>
      <w:r>
        <w:t xml:space="preserve">. Rollen-Verwaltung bleibt in der Keycloak-Admin-Konsole (UI out-of-scope V1).</w:t>
      </w:r>
    </w:p>
    <w:bookmarkEnd w:id="70"/>
    <w:bookmarkStart w:id="71" w:name="persistenz"/>
    <w:p>
      <w:pPr>
        <w:pStyle w:val="Heading3"/>
      </w:pPr>
      <w:r>
        <w:t xml:space="preserve">8.2 Persistenz</w:t>
      </w:r>
    </w:p>
    <w:p>
      <w:pPr>
        <w:pStyle w:val="FirstParagraph"/>
      </w:pPr>
      <w:r>
        <w:t xml:space="preserve">Spring Data JPA / Hibernate auf PostgreSQL; jedes Modul mit eigenen Repositories; Schema via</w:t>
      </w:r>
      <w:r>
        <w:t xml:space="preserve"> </w:t>
      </w:r>
      <w:r>
        <w:rPr>
          <w:b/>
          <w:bCs/>
        </w:rPr>
        <w:t xml:space="preserve">Flyway</w:t>
      </w:r>
      <w:r>
        <w:t xml:space="preserve">.</w:t>
      </w:r>
    </w:p>
    <w:p>
      <w:pPr>
        <w:pStyle w:val="Compact"/>
        <w:numPr>
          <w:ilvl w:val="0"/>
          <w:numId w:val="1007"/>
        </w:numPr>
      </w:pPr>
      <w:r>
        <w:t xml:space="preserve">Flyway-Dependency im</w:t>
      </w:r>
      <w:r>
        <w:t xml:space="preserve"> </w:t>
      </w:r>
      <w:r>
        <w:rPr>
          <w:rStyle w:val="VerbatimChar"/>
        </w:rPr>
        <w:t xml:space="preserve">app</w:t>
      </w:r>
      <w:r>
        <w:t xml:space="preserve">-Modul; Skripte unter</w:t>
      </w:r>
      <w:r>
        <w:t xml:space="preserve"> </w:t>
      </w:r>
      <w:r>
        <w:rPr>
          <w:rStyle w:val="VerbatimChar"/>
        </w:rPr>
        <w:t xml:space="preserve">db/migration/</w:t>
      </w:r>
      <w:r>
        <w:t xml:space="preserve">, Schema</w:t>
      </w:r>
      <w:r>
        <w:t xml:space="preserve"> </w:t>
      </w:r>
      <w:r>
        <w:rPr>
          <w:rStyle w:val="VerbatimChar"/>
        </w:rPr>
        <w:t xml:space="preserve">V{n}__{beschreibung}.sql</w:t>
      </w:r>
      <w:r>
        <w:t xml:space="preserve">;</w:t>
      </w:r>
      <w:r>
        <w:t xml:space="preserve"> </w:t>
      </w:r>
      <w:r>
        <w:rPr>
          <w:rStyle w:val="VerbatimChar"/>
        </w:rPr>
        <w:t xml:space="preserve">V1__baseline.sql</w:t>
      </w:r>
      <w:r>
        <w:t xml:space="preserve"> </w:t>
      </w:r>
      <w:r>
        <w:t xml:space="preserve">= initiales Schema.</w:t>
      </w:r>
    </w:p>
    <w:p>
      <w:pPr>
        <w:pStyle w:val="Compact"/>
        <w:numPr>
          <w:ilvl w:val="0"/>
          <w:numId w:val="1007"/>
        </w:numPr>
      </w:pPr>
      <w:r>
        <w:t xml:space="preserve">Hibernate</w:t>
      </w:r>
      <w:r>
        <w:t xml:space="preserve"> </w:t>
      </w:r>
      <w:r>
        <w:rPr>
          <w:rStyle w:val="VerbatimChar"/>
        </w:rPr>
        <w:t xml:space="preserve">ddl-auto</w:t>
      </w:r>
      <w:r>
        <w:t xml:space="preserve"> </w:t>
      </w:r>
      <w:r>
        <w:t xml:space="preserve">=</w:t>
      </w:r>
      <w:r>
        <w:t xml:space="preserve"> </w:t>
      </w:r>
      <w:r>
        <w:rPr>
          <w:rStyle w:val="VerbatimChar"/>
        </w:rPr>
        <w:t xml:space="preserve">validate</w:t>
      </w:r>
      <w:r>
        <w:t xml:space="preserve"> </w:t>
      </w:r>
      <w:r>
        <w:t xml:space="preserve">(PostgreSQL — Default und</w:t>
      </w:r>
      <w:r>
        <w:t xml:space="preserve"> </w:t>
      </w:r>
      <w:r>
        <w:rPr>
          <w:rStyle w:val="VerbatimChar"/>
        </w:rPr>
        <w:t xml:space="preserve">local</w:t>
      </w:r>
      <w:r>
        <w:t xml:space="preserve">-Profil) bzw.</w:t>
      </w:r>
      <w:r>
        <w:t xml:space="preserve"> </w:t>
      </w:r>
      <w:r>
        <w:rPr>
          <w:rStyle w:val="VerbatimChar"/>
        </w:rPr>
        <w:t xml:space="preserve">none</w:t>
      </w:r>
      <w:r>
        <w:t xml:space="preserve"> </w:t>
      </w:r>
      <w:r>
        <w:t xml:space="preserve">im</w:t>
      </w:r>
      <w:r>
        <w:t xml:space="preserve"> </w:t>
      </w:r>
      <w:r>
        <w:rPr>
          <w:rStyle w:val="VerbatimChar"/>
        </w:rPr>
        <w:t xml:space="preserve">test</w:t>
      </w:r>
      <w:r>
        <w:t xml:space="preserve">-Profil (H2) — Flyway ist einzige Schema-Quelle.</w:t>
      </w:r>
    </w:p>
    <w:p>
      <w:pPr>
        <w:pStyle w:val="Compact"/>
        <w:numPr>
          <w:ilvl w:val="0"/>
          <w:numId w:val="1007"/>
        </w:numPr>
      </w:pPr>
      <w:r>
        <w:rPr>
          <w:b/>
          <w:bCs/>
        </w:rPr>
        <w:t xml:space="preserve">H2 wird nur noch im</w:t>
      </w:r>
      <w:r>
        <w:rPr>
          <w:b/>
          <w:bCs/>
        </w:rPr>
        <w:t xml:space="preserve"> </w:t>
      </w:r>
      <w:r>
        <w:rPr>
          <w:rStyle w:val="VerbatimChar"/>
          <w:b/>
          <w:bCs/>
        </w:rPr>
        <w:t xml:space="preserve">test</w:t>
      </w:r>
      <w:r>
        <w:rPr>
          <w:b/>
          <w:bCs/>
        </w:rPr>
        <w:t xml:space="preserve">-Profil</w:t>
      </w:r>
      <w:r>
        <w:t xml:space="preserve"> </w:t>
      </w:r>
      <w:r>
        <w:t xml:space="preserve">(</w:t>
      </w:r>
      <w:r>
        <w:rPr>
          <w:rStyle w:val="VerbatimChar"/>
        </w:rPr>
        <w:t xml:space="preserve">application-test.yml</w:t>
      </w:r>
      <w:r>
        <w:t xml:space="preserve">, in-memory) verwendet — für Unit-/Slice-Tests und einzelne Context-/Contract-Tests. Die Integrationstests (</w:t>
      </w:r>
      <w:r>
        <w:rPr>
          <w:rStyle w:val="VerbatimChar"/>
        </w:rPr>
        <w:t xml:space="preserve">*IT</w:t>
      </w:r>
      <w:r>
        <w:t xml:space="preserve">) laufen über</w:t>
      </w:r>
      <w:r>
        <w:t xml:space="preserve"> </w:t>
      </w:r>
      <w:r>
        <w:rPr>
          <w:b/>
          <w:bCs/>
        </w:rPr>
        <w:t xml:space="preserve">Testcontainers gegen echtes PostgreSQL 16</w:t>
      </w:r>
      <w:r>
        <w:t xml:space="preserve"> </w:t>
      </w:r>
      <w:r>
        <w:t xml:space="preserve">(per</w:t>
      </w:r>
      <w:r>
        <w:t xml:space="preserve"> </w:t>
      </w:r>
      <w:r>
        <w:rPr>
          <w:rStyle w:val="VerbatimChar"/>
        </w:rPr>
        <w:t xml:space="preserve">@DynamicPropertySource</w:t>
      </w:r>
      <w:r>
        <w:t xml:space="preserve"> </w:t>
      </w:r>
      <w:r>
        <w:t xml:space="preserve">verdrahtet; erfordert eine Container-Runtime). Das</w:t>
      </w:r>
      <w:r>
        <w:t xml:space="preserve"> </w:t>
      </w:r>
      <w:r>
        <w:rPr>
          <w:rStyle w:val="VerbatimChar"/>
        </w:rPr>
        <w:t xml:space="preserve">local</w:t>
      </w:r>
      <w:r>
        <w:t xml:space="preserve">-Profil nutzt ebenfalls PostgreSQL (kein H2).</w:t>
      </w:r>
    </w:p>
    <w:p>
      <w:pPr>
        <w:pStyle w:val="Compact"/>
        <w:numPr>
          <w:ilvl w:val="0"/>
          <w:numId w:val="1007"/>
        </w:numPr>
      </w:pPr>
      <w:r>
        <w:t xml:space="preserve">Migrationen nutzen weitgehend ANSI-SQL (PostgreSQL- und H2-kompatibel), sodass dieselben Flyway-Skripte im</w:t>
      </w:r>
      <w:r>
        <w:t xml:space="preserve"> </w:t>
      </w:r>
      <w:r>
        <w:rPr>
          <w:rStyle w:val="VerbatimChar"/>
        </w:rPr>
        <w:t xml:space="preserve">test</w:t>
      </w:r>
      <w:r>
        <w:t xml:space="preserve">-Profil (H2) und auf PostgreSQL greifen.</w:t>
      </w:r>
    </w:p>
    <w:bookmarkEnd w:id="71"/>
    <w:bookmarkStart w:id="72" w:name="fehlerbehandlung"/>
    <w:p>
      <w:pPr>
        <w:pStyle w:val="Heading3"/>
      </w:pPr>
      <w:r>
        <w:t xml:space="preserve">8.3 Fehlerbehandlung</w:t>
      </w:r>
    </w:p>
    <w:p>
      <w:pPr>
        <w:pStyle w:val="FirstParagraph"/>
      </w:pPr>
      <w:r>
        <w:t xml:space="preserve">Die Fehlerbehandlung ist deklarativ über</w:t>
      </w:r>
      <w:r>
        <w:t xml:space="preserve"> </w:t>
      </w:r>
      <w:r>
        <w:rPr>
          <w:rStyle w:val="VerbatimChar"/>
        </w:rPr>
        <w:t xml:space="preserve">@RestControllerAdvice</w:t>
      </w:r>
      <w:r>
        <w:t xml:space="preserve"> </w:t>
      </w:r>
      <w:r>
        <w:t xml:space="preserve">gelöst. Das</w:t>
      </w:r>
      <w:r>
        <w:t xml:space="preserve"> </w:t>
      </w:r>
      <w:r>
        <w:rPr>
          <w:b/>
          <w:bCs/>
        </w:rPr>
        <w:t xml:space="preserve">Antwortformat</w:t>
      </w:r>
      <w:r>
        <w:t xml:space="preserve"> </w:t>
      </w:r>
      <w:r>
        <w:t xml:space="preserve">ist durchgängig</w:t>
      </w:r>
      <w:r>
        <w:t xml:space="preserve"> </w:t>
      </w:r>
      <w:r>
        <w:rPr>
          <w:b/>
          <w:bCs/>
        </w:rPr>
        <w:t xml:space="preserve">RFC 7807</w:t>
      </w:r>
      <w:r>
        <w:t xml:space="preserve"> </w:t>
      </w:r>
      <w:r>
        <w:t xml:space="preserve">über Springs</w:t>
      </w:r>
      <w:r>
        <w:t xml:space="preserve"> </w:t>
      </w:r>
      <w:r>
        <w:rPr>
          <w:rStyle w:val="VerbatimChar"/>
        </w:rPr>
        <w:t xml:space="preserve">ProblemDetail</w:t>
      </w:r>
      <w:r>
        <w:t xml:space="preserve"> </w:t>
      </w:r>
      <w:r>
        <w:t xml:space="preserve">(ersetzt das frühere Ad-hoc-Format); die Schemas der Fehlerantworten (400/404/409/422/502) sind via springdoc unter</w:t>
      </w:r>
      <w:r>
        <w:t xml:space="preserve"> </w:t>
      </w:r>
      <w:r>
        <w:rPr>
          <w:rStyle w:val="VerbatimChar"/>
        </w:rPr>
        <w:t xml:space="preserve">/v3/api-docs</w:t>
      </w:r>
      <w:r>
        <w:t xml:space="preserve"> </w:t>
      </w:r>
      <w:r>
        <w:t xml:space="preserve">dokumentiert.</w:t>
      </w:r>
      <w:r>
        <w:br/>
      </w:r>
      <w:r>
        <w:t xml:space="preserve">Der</w:t>
      </w:r>
      <w:r>
        <w:t xml:space="preserve"> </w:t>
      </w:r>
      <w:r>
        <w:rPr>
          <w:rStyle w:val="VerbatimChar"/>
        </w:rPr>
        <w:t xml:space="preserve">GlobalExceptionHandler</w:t>
      </w:r>
      <w:r>
        <w:t xml:space="preserve"> </w:t>
      </w:r>
      <w:r>
        <w:t xml:space="preserve">behandelt die modulübergreifende</w:t>
      </w:r>
      <w:r>
        <w:t xml:space="preserve"> </w:t>
      </w:r>
      <w:r>
        <w:t xml:space="preserve">“nicht gefunden”</w:t>
      </w:r>
      <w:r>
        <w:t xml:space="preserve">-Domain-Exceptions der fachlichen Module (Player/Match) und führen zu einem 404.</w:t>
      </w:r>
      <w:r>
        <w:br/>
      </w:r>
      <w:r>
        <w:t xml:space="preserve">Querschnittliche Fälle (Konflikte, Validierung, ungültige Argumente) übernimmt der</w:t>
      </w:r>
      <w:r>
        <w:t xml:space="preserve"> </w:t>
      </w:r>
      <w:r>
        <w:rPr>
          <w:rStyle w:val="VerbatimChar"/>
        </w:rPr>
        <w:t xml:space="preserve">CommonExceptionHandler</w:t>
      </w:r>
      <w:r>
        <w:t xml:space="preserve"> </w:t>
      </w:r>
      <w:r>
        <w:t xml:space="preserve">im</w:t>
      </w:r>
      <w:r>
        <w:t xml:space="preserve"> </w:t>
      </w:r>
      <w:r>
        <w:rPr>
          <w:rStyle w:val="VerbatimChar"/>
        </w:rPr>
        <w:t xml:space="preserve">common-module</w:t>
      </w:r>
      <w:r>
        <w:t xml:space="preserve"> </w:t>
      </w:r>
      <w:r>
        <w:t xml:space="preserve">und AI-spezifische Fälle der</w:t>
      </w:r>
      <w:r>
        <w:t xml:space="preserve"> </w:t>
      </w:r>
      <w:r>
        <w:rPr>
          <w:rStyle w:val="VerbatimChar"/>
        </w:rPr>
        <w:t xml:space="preserve">AiExceptionHandler</w:t>
      </w:r>
      <w:r>
        <w:t xml:space="preserve">.</w:t>
      </w:r>
    </w:p>
    <w:p>
      <w:pPr>
        <w:pStyle w:val="BodyText"/>
      </w:pPr>
      <w:r>
        <w:rPr>
          <w:b/>
          <w:bCs/>
        </w:rPr>
        <w:t xml:space="preserve">Catch-all + Sanitization (STRIDE I5+I6).</w:t>
      </w:r>
      <w:r>
        <w:t xml:space="preserve"> </w:t>
      </w:r>
      <w:r>
        <w:t xml:space="preserve">Vier allgemeine Exception-Typen werden als Auffangnetz verwendet. So werden keine interne Details (Klassenpfade, SQL, Stack-Traces) nach aussen gegeben.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Exception</w:t>
            </w:r>
          </w:p>
        </w:tc>
        <w:tc>
          <w:tcPr/>
          <w:p>
            <w:pPr>
              <w:pStyle w:val="Compact"/>
            </w:pPr>
            <w:r>
              <w:t xml:space="preserve">Status</w:t>
            </w:r>
          </w:p>
        </w:tc>
        <w:tc>
          <w:tcPr/>
          <w:p>
            <w:pPr>
              <w:pStyle w:val="Compact"/>
            </w:pPr>
            <w:r>
              <w:t xml:space="preserve">Detail</w:t>
            </w:r>
          </w:p>
        </w:tc>
      </w:tr>
      <w:tr>
        <w:tc>
          <w:tcPr/>
          <w:p>
            <w:pPr>
              <w:pStyle w:val="Compact"/>
            </w:pPr>
            <w:r>
              <w:rPr>
                <w:rStyle w:val="VerbatimChar"/>
              </w:rPr>
              <w:t xml:space="preserve">ResponseStatusException</w:t>
            </w:r>
          </w:p>
        </w:tc>
        <w:tc>
          <w:tcPr/>
          <w:p>
            <w:pPr>
              <w:pStyle w:val="Compact"/>
            </w:pPr>
            <w:r>
              <w:t xml:space="preserve">aus Exception</w:t>
            </w:r>
          </w:p>
        </w:tc>
        <w:tc>
          <w:tcPr/>
          <w:p>
            <w:pPr>
              <w:pStyle w:val="Compact"/>
            </w:pPr>
            <w:r>
              <w:t xml:space="preserve">Reason oder Standard-Phrase</w:t>
            </w:r>
          </w:p>
        </w:tc>
      </w:tr>
      <w:tr>
        <w:tc>
          <w:tcPr/>
          <w:p>
            <w:pPr>
              <w:pStyle w:val="Compact"/>
            </w:pPr>
            <w:r>
              <w:rPr>
                <w:rStyle w:val="VerbatimChar"/>
              </w:rPr>
              <w:t xml:space="preserve">DataIntegrityViolationException</w:t>
            </w:r>
          </w:p>
        </w:tc>
        <w:tc>
          <w:tcPr/>
          <w:p>
            <w:pPr>
              <w:pStyle w:val="Compact"/>
            </w:pPr>
            <w:r>
              <w:t xml:space="preserve">409</w:t>
            </w:r>
          </w:p>
        </w:tc>
        <w:tc>
          <w:tcPr/>
          <w:p>
            <w:pPr>
              <w:pStyle w:val="Compact"/>
            </w:pPr>
            <w:r>
              <w:t xml:space="preserve">Generisch; Original via WARN geloggt</w:t>
            </w:r>
          </w:p>
        </w:tc>
      </w:tr>
      <w:tr>
        <w:tc>
          <w:tcPr/>
          <w:p>
            <w:pPr>
              <w:pStyle w:val="Compact"/>
            </w:pPr>
            <w:r>
              <w:rPr>
                <w:rStyle w:val="VerbatimChar"/>
              </w:rPr>
              <w:t xml:space="preserve">AccessDeniedException</w:t>
            </w:r>
          </w:p>
        </w:tc>
        <w:tc>
          <w:tcPr/>
          <w:p>
            <w:pPr>
              <w:pStyle w:val="Compact"/>
            </w:pPr>
            <w:r>
              <w:t xml:space="preserve">403</w:t>
            </w:r>
          </w:p>
        </w:tc>
        <w:tc>
          <w:tcPr/>
          <w:p>
            <w:pPr>
              <w:pStyle w:val="Compact"/>
            </w:pPr>
            <w:r>
              <w:t xml:space="preserve">„Zugriff verweigert.”</w:t>
            </w:r>
          </w:p>
        </w:tc>
      </w:tr>
      <w:tr>
        <w:tc>
          <w:tcPr/>
          <w:p>
            <w:pPr>
              <w:pStyle w:val="Compact"/>
            </w:pPr>
            <w:r>
              <w:rPr>
                <w:rStyle w:val="VerbatimChar"/>
              </w:rPr>
              <w:t xml:space="preserve">Exception</w:t>
            </w:r>
            <w:r>
              <w:t xml:space="preserve"> </w:t>
            </w:r>
            <w:r>
              <w:t xml:space="preserve">(Catch-all)</w:t>
            </w:r>
          </w:p>
        </w:tc>
        <w:tc>
          <w:tcPr/>
          <w:p>
            <w:pPr>
              <w:pStyle w:val="Compact"/>
            </w:pPr>
            <w:r>
              <w:t xml:space="preserve">500</w:t>
            </w:r>
          </w:p>
        </w:tc>
        <w:tc>
          <w:tcPr/>
          <w:p>
            <w:pPr>
              <w:pStyle w:val="Compact"/>
            </w:pPr>
            <w:r>
              <w:t xml:space="preserve">„Interner Fehler …“; Original via ERROR geloggt</w:t>
            </w:r>
          </w:p>
        </w:tc>
      </w:tr>
    </w:tbl>
    <w:p>
      <w:pPr>
        <w:pStyle w:val="BodyText"/>
      </w:pPr>
      <w:r>
        <w:t xml:space="preserve">Damit auch Springs eingebauter</w:t>
      </w:r>
      <w:r>
        <w:t xml:space="preserve"> </w:t>
      </w:r>
      <w:r>
        <w:rPr>
          <w:b/>
          <w:bCs/>
        </w:rPr>
        <w:t xml:space="preserve">Whitelabel-Fallback</w:t>
      </w:r>
      <w:r>
        <w:t xml:space="preserve"> </w:t>
      </w:r>
      <w:r>
        <w:t xml:space="preserve">nichts preisgibt, sind</w:t>
      </w:r>
      <w:r>
        <w:t xml:space="preserve"> </w:t>
      </w:r>
      <w:r>
        <w:rPr>
          <w:rStyle w:val="VerbatimChar"/>
        </w:rPr>
        <w:t xml:space="preserve">server.error.include-message</w:t>
      </w:r>
      <w:r>
        <w:t xml:space="preserve"> </w:t>
      </w:r>
      <w:r>
        <w:t xml:space="preserve">und</w:t>
      </w:r>
      <w:r>
        <w:t xml:space="preserve"> </w:t>
      </w:r>
      <w:r>
        <w:rPr>
          <w:rStyle w:val="VerbatimChar"/>
        </w:rPr>
        <w:t xml:space="preserve">include-stacktrace</w:t>
      </w:r>
      <w:r>
        <w:t xml:space="preserve"> </w:t>
      </w:r>
      <w:r>
        <w:t xml:space="preserve">auf</w:t>
      </w:r>
      <w:r>
        <w:t xml:space="preserve"> </w:t>
      </w:r>
      <w:r>
        <w:rPr>
          <w:rStyle w:val="VerbatimChar"/>
        </w:rPr>
        <w:t xml:space="preserve">never</w:t>
      </w:r>
      <w:r>
        <w:t xml:space="preserve"> </w:t>
      </w:r>
      <w:r>
        <w:t xml:space="preserve">gesetzt — er zeigt dann weder Fehlermeldung noch Stack-Trace.</w:t>
      </w:r>
      <w:r>
        <w:br/>
      </w:r>
      <w:r>
        <w:t xml:space="preserve">Abgesichert wird das durch</w:t>
      </w:r>
      <w:r>
        <w:t xml:space="preserve"> </w:t>
      </w:r>
      <w:r>
        <w:rPr>
          <w:rStyle w:val="VerbatimChar"/>
        </w:rPr>
        <w:t xml:space="preserve">CommonExceptionHandlerTest</w:t>
      </w:r>
      <w:r>
        <w:t xml:space="preserve"> </w:t>
      </w:r>
      <w:r>
        <w:t xml:space="preserve">(7 Testfälle), der prüft, dass in</w:t>
      </w:r>
      <w:r>
        <w:t xml:space="preserve"> </w:t>
      </w:r>
      <w:r>
        <w:rPr>
          <w:rStyle w:val="VerbatimChar"/>
        </w:rPr>
        <w:t xml:space="preserve">detail</w:t>
      </w:r>
      <w:r>
        <w:t xml:space="preserve"> </w:t>
      </w:r>
      <w:r>
        <w:t xml:space="preserve">weder SQL noch UUIDs noch Klassennamen auftauchen.</w:t>
      </w:r>
    </w:p>
    <w:bookmarkEnd w:id="72"/>
    <w:bookmarkStart w:id="73" w:name="logging-und-monitoring"/>
    <w:p>
      <w:pPr>
        <w:pStyle w:val="Heading3"/>
      </w:pPr>
      <w:r>
        <w:t xml:space="preserve">8.4 Logging und Monitoring</w:t>
      </w:r>
    </w:p>
    <w:p>
      <w:pPr>
        <w:pStyle w:val="FirstParagraph"/>
      </w:pPr>
      <w:r>
        <w:t xml:space="preserve">Ein strukturiertes JSON-Logging erfolgt über SLF4J/Logback. Der Spring Boot Actuator liefert Health-/Metrics-/Info-Endpunkte (Prometheus/Grafana-fähig).</w:t>
      </w:r>
    </w:p>
    <w:bookmarkEnd w:id="73"/>
    <w:bookmarkStart w:id="76" w:name="testkonzept"/>
    <w:p>
      <w:pPr>
        <w:pStyle w:val="Heading3"/>
      </w:pPr>
      <w:r>
        <w:t xml:space="preserve">8.5 Testkonzept</w:t>
      </w:r>
    </w:p>
    <w:p>
      <w:pPr>
        <w:pStyle w:val="FirstParagraph"/>
      </w:pPr>
      <w:r>
        <w:t xml:space="preserve">Testpyramide: viele schnelle Unit-Tests (Domäne/Service), eine schmalere Integrations-/API-Schicht gegen den realen Stack, plus Frontend-Komponententests.</w:t>
      </w:r>
    </w:p>
    <w:p>
      <w:pPr>
        <w:pStyle w:val="Compact"/>
        <w:numPr>
          <w:ilvl w:val="0"/>
          <w:numId w:val="1008"/>
        </w:numPr>
      </w:pPr>
      <w:r>
        <w:rPr>
          <w:b/>
          <w:bCs/>
        </w:rPr>
        <w:t xml:space="preserve">Unit (Backend):</w:t>
      </w:r>
      <w:r>
        <w:t xml:space="preserve"> </w:t>
      </w:r>
      <w:r>
        <w:t xml:space="preserve">JUnit 5 + Mockito für Domänenlogik/Services (Scoring, Punkt-Attribution, Use-Case-Vorbedingungen) — ohne Spring-Context.</w:t>
      </w:r>
    </w:p>
    <w:p>
      <w:pPr>
        <w:pStyle w:val="Compact"/>
        <w:numPr>
          <w:ilvl w:val="0"/>
          <w:numId w:val="1008"/>
        </w:numPr>
      </w:pPr>
      <w:r>
        <w:rPr>
          <w:b/>
          <w:bCs/>
        </w:rPr>
        <w:t xml:space="preserve">Integration/API (Backend):</w:t>
      </w:r>
      <w:r>
        <w:t xml:space="preserve"> </w:t>
      </w:r>
      <w:r>
        <w:t xml:space="preserve">Spring Boot Test mit Testcontainers (PostgreSQL) + MockMvc (</w:t>
      </w:r>
      <w:r>
        <w:rPr>
          <w:rStyle w:val="VerbatimChar"/>
        </w:rPr>
        <w:t xml:space="preserve">AbstractIntegrationTest</w:t>
      </w:r>
      <w:r>
        <w:t xml:space="preserve">); JWT via Spring Security Test gemockt (kein laufendes Keycloak nötig).</w:t>
      </w:r>
    </w:p>
    <w:p>
      <w:pPr>
        <w:pStyle w:val="Compact"/>
        <w:numPr>
          <w:ilvl w:val="0"/>
          <w:numId w:val="1008"/>
        </w:numPr>
      </w:pPr>
      <w:r>
        <w:rPr>
          <w:b/>
          <w:bCs/>
        </w:rPr>
        <w:t xml:space="preserve">Coverage-Gate:</w:t>
      </w:r>
      <w:r>
        <w:t xml:space="preserve"> </w:t>
      </w:r>
      <w:r>
        <w:t xml:space="preserve">JaCoCo, modulübergreifend aggregiert (die</w:t>
      </w:r>
      <w:r>
        <w:t xml:space="preserve"> </w:t>
      </w:r>
      <w:r>
        <w:rPr>
          <w:rStyle w:val="VerbatimChar"/>
        </w:rPr>
        <w:t xml:space="preserve">*IT</w:t>
      </w:r>
      <w:r>
        <w:t xml:space="preserve"> </w:t>
      </w:r>
      <w:r>
        <w:t xml:space="preserve">im</w:t>
      </w:r>
      <w:r>
        <w:t xml:space="preserve"> </w:t>
      </w:r>
      <w:r>
        <w:rPr>
          <w:rStyle w:val="VerbatimChar"/>
        </w:rPr>
        <w:t xml:space="preserve">app</w:t>
      </w:r>
      <w:r>
        <w:t xml:space="preserve">-Modul decken alle Module ab;</w:t>
      </w:r>
      <w:r>
        <w:t xml:space="preserve"> </w:t>
      </w:r>
      <w:r>
        <w:rPr>
          <w:rStyle w:val="VerbatimChar"/>
        </w:rPr>
        <w:t xml:space="preserve">jacocoRootReport</w:t>
      </w:r>
      <w:r>
        <w:t xml:space="preserve">/</w:t>
      </w:r>
      <w:r>
        <w:rPr>
          <w:rStyle w:val="VerbatimChar"/>
        </w:rPr>
        <w:t xml:space="preserve">…CoverageVerification</w:t>
      </w:r>
      <w:r>
        <w:t xml:space="preserve">). In</w:t>
      </w:r>
      <w:r>
        <w:t xml:space="preserve"> </w:t>
      </w:r>
      <w:r>
        <w:rPr>
          <w:rStyle w:val="VerbatimChar"/>
        </w:rPr>
        <w:t xml:space="preserve">check</w:t>
      </w:r>
      <w:r>
        <w:t xml:space="preserve"> </w:t>
      </w:r>
      <w:r>
        <w:t xml:space="preserve">eingehängt, bricht unter</w:t>
      </w:r>
      <w:r>
        <w:t xml:space="preserve"> </w:t>
      </w:r>
      <w:r>
        <w:rPr>
          <w:b/>
          <w:bCs/>
        </w:rPr>
        <w:t xml:space="preserve">85 % Line / 70 % Branch</w:t>
      </w:r>
      <w:r>
        <w:t xml:space="preserve"> </w:t>
      </w:r>
      <w:r>
        <w:t xml:space="preserve">(Ist ~95 %/~80 %).</w:t>
      </w:r>
    </w:p>
    <w:p>
      <w:pPr>
        <w:pStyle w:val="Compact"/>
        <w:numPr>
          <w:ilvl w:val="0"/>
          <w:numId w:val="1008"/>
        </w:numPr>
      </w:pPr>
      <w:r>
        <w:rPr>
          <w:b/>
          <w:bCs/>
        </w:rPr>
        <w:t xml:space="preserve">Frontend:</w:t>
      </w:r>
      <w:r>
        <w:t xml:space="preserve"> </w:t>
      </w:r>
      <w:r>
        <w:t xml:space="preserve">Vitest (</w:t>
      </w:r>
      <w:r>
        <w:rPr>
          <w:rStyle w:val="VerbatimChar"/>
        </w:rPr>
        <w:t xml:space="preserve">*.spec.ts</w:t>
      </w:r>
      <w:r>
        <w:t xml:space="preserve">) + Cypress Component Testing (</w:t>
      </w:r>
      <w:r>
        <w:rPr>
          <w:rStyle w:val="VerbatimChar"/>
        </w:rPr>
        <w:t xml:space="preserve">*.cy.ts</w:t>
      </w:r>
      <w:r>
        <w:t xml:space="preserve">, gemockte HTTP via</w:t>
      </w:r>
      <w:r>
        <w:t xml:space="preserve"> </w:t>
      </w:r>
      <w:r>
        <w:rPr>
          <w:rStyle w:val="VerbatimChar"/>
        </w:rPr>
        <w:t xml:space="preserve">cy.intercept</w:t>
      </w:r>
      <w:r>
        <w:t xml:space="preserve">).</w:t>
      </w:r>
    </w:p>
    <w:bookmarkStart w:id="74" w:name="begründung-der-werkzeuge"/>
    <w:p>
      <w:pPr>
        <w:pStyle w:val="Heading4"/>
      </w:pPr>
      <w:r>
        <w:t xml:space="preserve">8.5.1 Begründung der Werkzeuge</w:t>
      </w:r>
    </w:p>
    <w:p>
      <w:pPr>
        <w:pStyle w:val="Compact"/>
        <w:numPr>
          <w:ilvl w:val="0"/>
          <w:numId w:val="1009"/>
        </w:numPr>
      </w:pPr>
      <w:r>
        <w:rPr>
          <w:i/>
          <w:iCs/>
        </w:rPr>
        <w:t xml:space="preserve">Echtes PostgreSQL via Testcontainers statt H2:</w:t>
      </w:r>
      <w:r>
        <w:t xml:space="preserve"> </w:t>
      </w:r>
      <w:r>
        <w:t xml:space="preserve">Persistenz-/Schema-Verhalten ist PostgreSQL-spezifisch und wird gegen dieselbe Engine wie in Prod verifiziert (Flyway V1–V10 real, nativer</w:t>
      </w:r>
      <w:r>
        <w:t xml:space="preserve"> </w:t>
      </w:r>
      <w:r>
        <w:rPr>
          <w:rStyle w:val="VerbatimChar"/>
        </w:rPr>
        <w:t xml:space="preserve">UUID</w:t>
      </w:r>
      <w:r>
        <w:t xml:space="preserve">-Typ,</w:t>
      </w:r>
      <w:r>
        <w:t xml:space="preserve"> </w:t>
      </w:r>
      <w:r>
        <w:rPr>
          <w:rStyle w:val="VerbatimChar"/>
        </w:rPr>
        <w:t xml:space="preserve">CHECK</w:t>
      </w:r>
      <w:r>
        <w:t xml:space="preserve">/</w:t>
      </w:r>
      <w:r>
        <w:rPr>
          <w:rStyle w:val="VerbatimChar"/>
        </w:rPr>
        <w:t xml:space="preserve">ON DELETE CASCADE</w:t>
      </w:r>
      <w:r>
        <w:t xml:space="preserve">); H2 im PG-Modus weicht ab.</w:t>
      </w:r>
      <w:r>
        <w:br/>
      </w:r>
    </w:p>
    <w:p>
      <w:pPr>
        <w:pStyle w:val="Compact"/>
        <w:numPr>
          <w:ilvl w:val="0"/>
          <w:numId w:val="1009"/>
        </w:numPr>
      </w:pPr>
      <w:r>
        <w:rPr>
          <w:i/>
          <w:iCs/>
        </w:rPr>
        <w:t xml:space="preserve">WireMock für den LLM-Adapter:</w:t>
      </w:r>
      <w:r>
        <w:t xml:space="preserve"> </w:t>
      </w:r>
      <w:r>
        <w:rPr>
          <w:rStyle w:val="VerbatimChar"/>
        </w:rPr>
        <w:t xml:space="preserve">OpenAiLlmAdapterTest</w:t>
      </w:r>
      <w:r>
        <w:t xml:space="preserve"> </w:t>
      </w:r>
      <w:r>
        <w:t xml:space="preserve">stubbt den OpenAI-HTTP-Endpoint und prüft den realen Serialisierungspfad deterministisch, offline, ohne Kosten.</w:t>
      </w:r>
      <w:r>
        <w:br/>
      </w:r>
    </w:p>
    <w:p>
      <w:pPr>
        <w:pStyle w:val="Compact"/>
        <w:numPr>
          <w:ilvl w:val="0"/>
          <w:numId w:val="1009"/>
        </w:numPr>
      </w:pPr>
      <w:r>
        <w:rPr>
          <w:i/>
          <w:iCs/>
        </w:rPr>
        <w:t xml:space="preserve">Coverage-Gate 85/70:</w:t>
      </w:r>
      <w:r>
        <w:t xml:space="preserve"> </w:t>
      </w:r>
      <w:r>
        <w:t xml:space="preserve">knapp unter Ist-Stand → fängt Regressionen ohne Brechen bei Schwankungen (ADR-11).</w:t>
      </w:r>
    </w:p>
    <w:bookmarkEnd w:id="74"/>
    <w:bookmarkStart w:id="75" w:name="Xf7234b34e8fd42e05ce6d1c29239cb32179f024"/>
    <w:p>
      <w:pPr>
        <w:pStyle w:val="Heading4"/>
      </w:pPr>
      <w:r>
        <w:t xml:space="preserve">8.5.2 Tests der KI-Anteile (Nichtdeterminismus, Guardrails, Fehlerpfade)</w:t>
      </w:r>
    </w:p>
    <w:p>
      <w:pPr>
        <w:pStyle w:val="FirstParagraph"/>
      </w:pPr>
      <w:r>
        <w:t xml:space="preserve">Die KI-Anteile sind wegen Nichtdeterminismus, externer Abhängigkeit und Kosten gesondert abgesichert:</w:t>
      </w:r>
    </w:p>
    <w:p>
      <w:pPr>
        <w:pStyle w:val="Compact"/>
        <w:numPr>
          <w:ilvl w:val="0"/>
          <w:numId w:val="1010"/>
        </w:numPr>
      </w:pPr>
      <w:r>
        <w:rPr>
          <w:b/>
          <w:bCs/>
        </w:rPr>
        <w:t xml:space="preserve">Nichtdeterminismus eliminieren.</w:t>
      </w:r>
      <w:r>
        <w:t xml:space="preserve"> </w:t>
      </w:r>
      <w:r>
        <w:t xml:space="preserve">Auf Adapter-Ebene fixiert der WireMock-Stub die LLM-Antwort (</w:t>
      </w:r>
      <w:r>
        <w:rPr>
          <w:rStyle w:val="VerbatimChar"/>
        </w:rPr>
        <w:t xml:space="preserve">OpenAiLlmAdapterTest</w:t>
      </w:r>
      <w:r>
        <w:t xml:space="preserve">). Auf Service-/IT-Ebene ersetzt der deterministische</w:t>
      </w:r>
      <w:r>
        <w:t xml:space="preserve"> </w:t>
      </w:r>
      <w:r>
        <w:rPr>
          <w:rStyle w:val="VerbatimChar"/>
        </w:rPr>
        <w:t xml:space="preserve">FakeLlmClientAdapter</w:t>
      </w:r>
      <w:r>
        <w:t xml:space="preserve"> </w:t>
      </w:r>
      <w:r>
        <w:t xml:space="preserve">(aktiv via</w:t>
      </w:r>
      <w:r>
        <w:t xml:space="preserve"> </w:t>
      </w:r>
      <w:r>
        <w:rPr>
          <w:rStyle w:val="VerbatimChar"/>
        </w:rPr>
        <w:t xml:space="preserve">@ConditionalOnMissingBean</w:t>
      </w:r>
      <w:r>
        <w:t xml:space="preserve">, ohne API-Key) den Provider vollständig — die IT belegen das über</w:t>
      </w:r>
      <w:r>
        <w:t xml:space="preserve"> </w:t>
      </w:r>
      <w:r>
        <w:rPr>
          <w:rStyle w:val="VerbatimChar"/>
        </w:rPr>
        <w:t xml:space="preserve">modelUsed = fake-llm</w:t>
      </w:r>
      <w:r>
        <w:t xml:space="preserve">. So sind KI-Pfade reproduzierbar testbar, ohne dass eine generative Antwort das Ergebnis verwackelt.</w:t>
      </w:r>
    </w:p>
    <w:p>
      <w:pPr>
        <w:pStyle w:val="Compact"/>
        <w:numPr>
          <w:ilvl w:val="0"/>
          <w:numId w:val="1010"/>
        </w:numPr>
      </w:pPr>
      <w:r>
        <w:rPr>
          <w:b/>
          <w:bCs/>
        </w:rPr>
        <w:t xml:space="preserve">Guardrails verifizieren.</w:t>
      </w:r>
      <w:r>
        <w:t xml:space="preserve"> </w:t>
      </w:r>
      <w:r>
        <w:rPr>
          <w:rStyle w:val="VerbatimChar"/>
        </w:rPr>
        <w:t xml:space="preserve">MatchAnalysisServiceTest</w:t>
      </w:r>
      <w:r>
        <w:t xml:space="preserve"> </w:t>
      </w:r>
      <w:r>
        <w:t xml:space="preserve">prüft die fachlichen Vorbedingungen explizit:</w:t>
      </w:r>
      <w:r>
        <w:t xml:space="preserve"> </w:t>
      </w:r>
      <w:r>
        <w:rPr>
          <w:rStyle w:val="VerbatimChar"/>
        </w:rPr>
        <w:t xml:space="preserve">generate_throwsWhenMatchNotCompleted</w:t>
      </w:r>
      <w:r>
        <w:t xml:space="preserve"> </w:t>
      </w:r>
      <w:r>
        <w:t xml:space="preserve">(Match muss</w:t>
      </w:r>
      <w:r>
        <w:t xml:space="preserve"> </w:t>
      </w:r>
      <w:r>
        <w:rPr>
          <w:rStyle w:val="VerbatimChar"/>
        </w:rPr>
        <w:t xml:space="preserve">COMPLETED</w:t>
      </w:r>
      <w:r>
        <w:t xml:space="preserve"> </w:t>
      </w:r>
      <w:r>
        <w:t xml:space="preserve">sein) und</w:t>
      </w:r>
      <w:r>
        <w:t xml:space="preserve"> </w:t>
      </w:r>
      <w:r>
        <w:rPr>
          <w:rStyle w:val="VerbatimChar"/>
        </w:rPr>
        <w:t xml:space="preserve">generate_throwsWhenTooFewPoints</w:t>
      </w:r>
      <w:r>
        <w:t xml:space="preserve"> </w:t>
      </w:r>
      <w:r>
        <w:t xml:space="preserve">(Mindestpunktzahl). Die Kosten-Guardrail (Rate-Limit) ist separat in</w:t>
      </w:r>
      <w:r>
        <w:t xml:space="preserve"> </w:t>
      </w:r>
      <w:r>
        <w:rPr>
          <w:rStyle w:val="VerbatimChar"/>
        </w:rPr>
        <w:t xml:space="preserve">MatchAnalysisRateLimitIT</w:t>
      </w:r>
      <w:r>
        <w:t xml:space="preserve"> </w:t>
      </w:r>
      <w:r>
        <w:t xml:space="preserve">abgedeckt (vgl. §7.1.3 / TEN-64).</w:t>
      </w:r>
    </w:p>
    <w:p>
      <w:pPr>
        <w:pStyle w:val="Compact"/>
        <w:numPr>
          <w:ilvl w:val="0"/>
          <w:numId w:val="1010"/>
        </w:numPr>
      </w:pPr>
      <w:r>
        <w:rPr>
          <w:b/>
          <w:bCs/>
        </w:rPr>
        <w:t xml:space="preserve">Fehlerpfade abdecken.</w:t>
      </w:r>
      <w:r>
        <w:t xml:space="preserve"> </w:t>
      </w:r>
      <w:r>
        <w:rPr>
          <w:rStyle w:val="VerbatimChar"/>
        </w:rPr>
        <w:t xml:space="preserve">generate_persistsFailedAnalysisAndRethrowsOnLlmError</w:t>
      </w:r>
      <w:r>
        <w:t xml:space="preserve"> </w:t>
      </w:r>
      <w:r>
        <w:t xml:space="preserve">belegt: ein LLM-Ausfall persistiert einen</w:t>
      </w:r>
      <w:r>
        <w:t xml:space="preserve"> </w:t>
      </w:r>
      <w:r>
        <w:rPr>
          <w:rStyle w:val="VerbatimChar"/>
        </w:rPr>
        <w:t xml:space="preserve">FAILED</w:t>
      </w:r>
      <w:r>
        <w:t xml:space="preserve">-Datensatz</w:t>
      </w:r>
      <w:r>
        <w:t xml:space="preserve"> </w:t>
      </w:r>
      <w:r>
        <w:rPr>
          <w:b/>
          <w:bCs/>
        </w:rPr>
        <w:t xml:space="preserve">und</w:t>
      </w:r>
      <w:r>
        <w:t xml:space="preserve"> </w:t>
      </w:r>
      <w:r>
        <w:t xml:space="preserve">propagiert den Fehler (→ HTTP 502).</w:t>
      </w:r>
      <w:r>
        <w:t xml:space="preserve"> </w:t>
      </w:r>
      <w:r>
        <w:rPr>
          <w:rStyle w:val="VerbatimChar"/>
        </w:rPr>
        <w:t xml:space="preserve">MatchAnalysisControllerIT</w:t>
      </w:r>
      <w:r>
        <w:t xml:space="preserve"> </w:t>
      </w:r>
      <w:r>
        <w:t xml:space="preserve">prüft die HTTP-Abbildung end-to-end gegen echtes PostgreSQL (409 nicht beendet, 422 zu wenige Punkte, 404 unbekannt/cross-tenant).</w:t>
      </w:r>
    </w:p>
    <w:bookmarkEnd w:id="75"/>
    <w:bookmarkEnd w:id="76"/>
    <w:bookmarkStart w:id="77" w:name="continuous-integration-build-gate"/>
    <w:p>
      <w:pPr>
        <w:pStyle w:val="Heading3"/>
      </w:pPr>
      <w:r>
        <w:t xml:space="preserve">8.6 Continuous Integration / Build-Gate</w:t>
      </w:r>
    </w:p>
    <w:p>
      <w:pPr>
        <w:pStyle w:val="FirstParagraph"/>
      </w:pPr>
      <w:r>
        <w:t xml:space="preserve">Zwei GitHub-Actions-Workflows bei jedem Push/PR auf</w:t>
      </w:r>
      <w:r>
        <w:t xml:space="preserve"> </w:t>
      </w:r>
      <w:r>
        <w:rPr>
          <w:rStyle w:val="VerbatimChar"/>
        </w:rPr>
        <w:t xml:space="preserve">develop</w:t>
      </w:r>
      <w:r>
        <w:t xml:space="preserve">/</w:t>
      </w:r>
      <w:r>
        <w:rPr>
          <w:rStyle w:val="VerbatimChar"/>
        </w:rPr>
        <w:t xml:space="preserve">main</w:t>
      </w:r>
      <w:r>
        <w:t xml:space="preserve">:</w:t>
      </w:r>
    </w:p>
    <w:tbl>
      <w:tblPr>
        <w:tblStyle w:val="Table"/>
        <w:tblW w:type="pct" w:w="5000"/>
        <w:tblLayout w:type="fixed"/>
        <w:tblLook w:firstRow="1" w:lastRow="0" w:firstColumn="0" w:lastColumn="0" w:noHBand="0" w:noVBand="0" w:val="0020"/>
      </w:tblPr>
      <w:tblGrid>
        <w:gridCol w:w="4400"/>
        <w:gridCol w:w="3520"/>
      </w:tblGrid>
      <w:tr>
        <w:trPr>
          <w:tblHeader w:val="on"/>
        </w:trPr>
        <w:tc>
          <w:tcPr/>
          <w:p>
            <w:pPr>
              <w:pStyle w:val="Compact"/>
            </w:pPr>
            <w:r>
              <w:t xml:space="preserve">Workflow</w:t>
            </w:r>
          </w:p>
        </w:tc>
        <w:tc>
          <w:tcPr/>
          <w:p>
            <w:pPr>
              <w:pStyle w:val="Compact"/>
            </w:pPr>
            <w:r>
              <w:t xml:space="preserve">Inhalt</w:t>
            </w:r>
          </w:p>
        </w:tc>
      </w:tr>
      <w:tr>
        <w:tc>
          <w:tcPr/>
          <w:p>
            <w:pPr>
              <w:pStyle w:val="Compact"/>
            </w:pPr>
            <w:r>
              <w:t xml:space="preserve">Backend CI (</w:t>
            </w:r>
            <w:r>
              <w:rPr>
                <w:rStyle w:val="VerbatimChar"/>
              </w:rPr>
              <w:t xml:space="preserve">backend-ci.yml</w:t>
            </w:r>
            <w:r>
              <w:t xml:space="preserve">)</w:t>
            </w:r>
          </w:p>
        </w:tc>
        <w:tc>
          <w:tcPr/>
          <w:p>
            <w:pPr>
              <w:pStyle w:val="Compact"/>
            </w:pPr>
            <w:r>
              <w:rPr>
                <w:rStyle w:val="VerbatimChar"/>
              </w:rPr>
              <w:t xml:space="preserve">./gradlew check</w:t>
            </w:r>
            <w:r>
              <w:t xml:space="preserve"> </w:t>
            </w:r>
            <w:r>
              <w:t xml:space="preserve">(Tests + JaCoCo-Gate) auf JDK 25; lädt den aggregierten Coverage-Report als Artifact. Testcontainers nutzt das native Docker des Runners.</w:t>
            </w:r>
          </w:p>
        </w:tc>
      </w:tr>
      <w:tr>
        <w:tc>
          <w:tcPr/>
          <w:p>
            <w:pPr>
              <w:pStyle w:val="Compact"/>
            </w:pPr>
            <w:r>
              <w:t xml:space="preserve">Frontend CI (</w:t>
            </w:r>
            <w:r>
              <w:rPr>
                <w:rStyle w:val="VerbatimChar"/>
              </w:rPr>
              <w:t xml:space="preserve">frontend-ci.yml</w:t>
            </w:r>
            <w:r>
              <w:t xml:space="preserve">)</w:t>
            </w:r>
          </w:p>
        </w:tc>
        <w:tc>
          <w:tcPr/>
          <w:p>
            <w:pPr>
              <w:pStyle w:val="Compact"/>
            </w:pPr>
            <w:r>
              <w:rPr>
                <w:rStyle w:val="VerbatimChar"/>
              </w:rPr>
              <w:t xml:space="preserve">ng build</w:t>
            </w:r>
            <w:r>
              <w:t xml:space="preserve"> </w:t>
            </w:r>
            <w:r>
              <w:t xml:space="preserve">+ Vitest + Cypress auf Node 22 (mit Cache).</w:t>
            </w:r>
          </w:p>
        </w:tc>
      </w:tr>
    </w:tbl>
    <w:p>
      <w:pPr>
        <w:pStyle w:val="BodyText"/>
      </w:pPr>
      <w:r>
        <w:t xml:space="preserve">Beide sind</w:t>
      </w:r>
      <w:r>
        <w:t xml:space="preserve"> </w:t>
      </w:r>
      <w:r>
        <w:rPr>
          <w:b/>
          <w:bCs/>
        </w:rPr>
        <w:t xml:space="preserve">required status checks</w:t>
      </w:r>
      <w:r>
        <w:t xml:space="preserve"> </w:t>
      </w:r>
      <w:r>
        <w:t xml:space="preserve">(Branch Protection) ohne Pfadfilter (ein nicht ausgelöster required Check würde den Merge blockieren).</w:t>
      </w:r>
      <w:r>
        <w:br/>
      </w:r>
      <w:r>
        <w:rPr>
          <w:rStyle w:val="VerbatimChar"/>
        </w:rPr>
        <w:t xml:space="preserve">enforce_admins=false</w:t>
      </w:r>
      <w:r>
        <w:t xml:space="preserve"> </w:t>
      </w:r>
      <w:r>
        <w:t xml:space="preserve">(Admin-Override im Notfall).</w:t>
      </w:r>
    </w:p>
    <w:bookmarkEnd w:id="77"/>
    <w:bookmarkStart w:id="78" w:name="testergebnisse"/>
    <w:p>
      <w:pPr>
        <w:pStyle w:val="Heading3"/>
      </w:pPr>
      <w:r>
        <w:t xml:space="preserve">8.7 Testergebnisse</w:t>
      </w:r>
    </w:p>
    <w:p>
      <w:pPr>
        <w:pStyle w:val="FirstParagraph"/>
      </w:pPr>
      <w:r>
        <w:t xml:space="preserve">Snapshot vom</w:t>
      </w:r>
      <w:r>
        <w:t xml:space="preserve"> </w:t>
      </w:r>
      <w:r>
        <w:rPr>
          <w:b/>
          <w:bCs/>
        </w:rPr>
        <w:t xml:space="preserve">2026-06-13</w:t>
      </w:r>
      <w:r>
        <w:t xml:space="preserve"> </w:t>
      </w:r>
      <w:r>
        <w:t xml:space="preserve">(</w:t>
      </w:r>
      <w:r>
        <w:rPr>
          <w:rStyle w:val="VerbatimChar"/>
        </w:rPr>
        <w:t xml:space="preserve">develop</w:t>
      </w:r>
      <w:r>
        <w:t xml:space="preserve">, nach PR #6). Reproduzierbar via</w:t>
      </w:r>
      <w:r>
        <w:t xml:space="preserve"> </w:t>
      </w:r>
      <w:r>
        <w:rPr>
          <w:rStyle w:val="VerbatimChar"/>
        </w:rPr>
        <w:t xml:space="preserve">./gradlew clean test jacocoRootReport</w:t>
      </w:r>
      <w:r>
        <w:t xml:space="preserve"> </w:t>
      </w:r>
      <w:r>
        <w:t xml:space="preserve">(JDK 25, Testcontainers). Der aggregierte Report ist eingecheckt unter</w:t>
      </w:r>
      <w:r>
        <w:t xml:space="preserve"> </w:t>
      </w:r>
      <w:r>
        <w:rPr>
          <w:rStyle w:val="VerbatimChar"/>
        </w:rPr>
        <w:t xml:space="preserve">backend/doc/reports/jacoco/jacocoRootReport/</w:t>
      </w:r>
      <w:r>
        <w:t xml:space="preserve"> </w:t>
      </w:r>
      <w:r>
        <w:t xml:space="preserve">und wird in der CI als Artifact hochgeladen.</w:t>
      </w:r>
    </w:p>
    <w:p>
      <w:pPr>
        <w:pStyle w:val="BodyText"/>
      </w:pPr>
      <w:r>
        <w:rPr>
          <w:b/>
          <w:bCs/>
        </w:rPr>
        <w:t xml:space="preserve">Testanzahl (alle grün, 0 Failures/Errors/Skipped):</w:t>
      </w:r>
    </w:p>
    <w:tbl>
      <w:tblPr>
        <w:tblStyle w:val="Table"/>
        <w:tblW w:type="pct" w:w="5000"/>
        <w:tblLayout w:type="fixed"/>
        <w:tblLook w:firstRow="1" w:lastRow="0" w:firstColumn="0" w:lastColumn="0" w:noHBand="0" w:noVBand="0" w:val="0020"/>
      </w:tblPr>
      <w:tblGrid>
        <w:gridCol w:w="2053"/>
        <w:gridCol w:w="2053"/>
        <w:gridCol w:w="3813"/>
      </w:tblGrid>
      <w:tr>
        <w:trPr>
          <w:tblHeader w:val="on"/>
        </w:trPr>
        <w:tc>
          <w:tcPr/>
          <w:p>
            <w:pPr>
              <w:pStyle w:val="Compact"/>
            </w:pPr>
            <w:r>
              <w:t xml:space="preserve">Modul</w:t>
            </w:r>
          </w:p>
        </w:tc>
        <w:tc>
          <w:tcPr/>
          <w:p>
            <w:pPr>
              <w:pStyle w:val="Compact"/>
              <w:jc w:val="right"/>
            </w:pPr>
            <w:r>
              <w:t xml:space="preserve">Tests</w:t>
            </w:r>
          </w:p>
        </w:tc>
        <w:tc>
          <w:tcPr/>
          <w:p>
            <w:pPr>
              <w:pStyle w:val="Compact"/>
            </w:pPr>
            <w:r>
              <w:t xml:space="preserve">Schwerpunkt</w:t>
            </w:r>
          </w:p>
        </w:tc>
      </w:tr>
      <w:tr>
        <w:tc>
          <w:tcPr/>
          <w:p>
            <w:pPr>
              <w:pStyle w:val="Compact"/>
            </w:pPr>
            <w:r>
              <w:rPr>
                <w:rStyle w:val="VerbatimChar"/>
              </w:rPr>
              <w:t xml:space="preserve">app</w:t>
            </w:r>
          </w:p>
        </w:tc>
        <w:tc>
          <w:tcPr/>
          <w:p>
            <w:pPr>
              <w:pStyle w:val="Compact"/>
              <w:jc w:val="right"/>
            </w:pPr>
            <w:r>
              <w:t xml:space="preserve">78</w:t>
            </w:r>
          </w:p>
        </w:tc>
        <w:tc>
          <w:tcPr/>
          <w:p>
            <w:pPr>
              <w:pStyle w:val="Compact"/>
            </w:pPr>
            <w:r>
              <w:t xml:space="preserve">Integrations-/API-Tests (Testcontainers + MockMvc);</w:t>
            </w:r>
            <w:r>
              <w:t xml:space="preserve"> </w:t>
            </w:r>
            <w:r>
              <w:rPr>
                <w:rStyle w:val="VerbatimChar"/>
              </w:rPr>
              <w:t xml:space="preserve">ArchitectureTest</w:t>
            </w:r>
          </w:p>
        </w:tc>
      </w:tr>
      <w:tr>
        <w:tc>
          <w:tcPr/>
          <w:p>
            <w:pPr>
              <w:pStyle w:val="Compact"/>
            </w:pPr>
            <w:r>
              <w:rPr>
                <w:rStyle w:val="VerbatimChar"/>
              </w:rPr>
              <w:t xml:space="preserve">match-module</w:t>
            </w:r>
          </w:p>
        </w:tc>
        <w:tc>
          <w:tcPr/>
          <w:p>
            <w:pPr>
              <w:pStyle w:val="Compact"/>
              <w:jc w:val="right"/>
            </w:pPr>
            <w:r>
              <w:t xml:space="preserve">60</w:t>
            </w:r>
          </w:p>
        </w:tc>
        <w:tc>
          <w:tcPr/>
          <w:p>
            <w:pPr>
              <w:pStyle w:val="Compact"/>
            </w:pPr>
            <w:r>
              <w:t xml:space="preserve">Scoring-Regeln, Match-Lebenszyklus, Break-Points</w:t>
            </w:r>
          </w:p>
        </w:tc>
      </w:tr>
      <w:tr>
        <w:tc>
          <w:tcPr/>
          <w:p>
            <w:pPr>
              <w:pStyle w:val="Compact"/>
            </w:pPr>
            <w:r>
              <w:rPr>
                <w:rStyle w:val="VerbatimChar"/>
              </w:rPr>
              <w:t xml:space="preserve">statistics-module</w:t>
            </w:r>
          </w:p>
        </w:tc>
        <w:tc>
          <w:tcPr/>
          <w:p>
            <w:pPr>
              <w:pStyle w:val="Compact"/>
              <w:jc w:val="right"/>
            </w:pPr>
            <w:r>
              <w:t xml:space="preserve">31</w:t>
            </w:r>
          </w:p>
        </w:tc>
        <w:tc>
          <w:tcPr/>
          <w:p>
            <w:pPr>
              <w:pStyle w:val="Compact"/>
            </w:pPr>
            <w:r>
              <w:t xml:space="preserve">Punkt-Attribution + Kennzahlen (inkl. Head-to-Head)</w:t>
            </w:r>
          </w:p>
        </w:tc>
      </w:tr>
      <w:tr>
        <w:tc>
          <w:tcPr/>
          <w:p>
            <w:pPr>
              <w:pStyle w:val="Compact"/>
            </w:pPr>
            <w:r>
              <w:rPr>
                <w:rStyle w:val="VerbatimChar"/>
              </w:rPr>
              <w:t xml:space="preserve">player-module</w:t>
            </w:r>
          </w:p>
        </w:tc>
        <w:tc>
          <w:tcPr/>
          <w:p>
            <w:pPr>
              <w:pStyle w:val="Compact"/>
              <w:jc w:val="right"/>
            </w:pPr>
            <w:r>
              <w:t xml:space="preserve">16</w:t>
            </w:r>
          </w:p>
        </w:tc>
        <w:tc>
          <w:tcPr/>
          <w:p>
            <w:pPr>
              <w:pStyle w:val="Compact"/>
            </w:pPr>
            <w:r>
              <w:t xml:space="preserve">Spieler-Use-Cases inkl. Lösch-/Deaktivierungsregeln</w:t>
            </w:r>
          </w:p>
        </w:tc>
      </w:tr>
      <w:tr>
        <w:tc>
          <w:tcPr/>
          <w:p>
            <w:pPr>
              <w:pStyle w:val="Compact"/>
            </w:pPr>
            <w:r>
              <w:rPr>
                <w:rStyle w:val="VerbatimChar"/>
              </w:rPr>
              <w:t xml:space="preserve">ai-module</w:t>
            </w:r>
          </w:p>
        </w:tc>
        <w:tc>
          <w:tcPr/>
          <w:p>
            <w:pPr>
              <w:pStyle w:val="Compact"/>
              <w:jc w:val="right"/>
            </w:pPr>
            <w:r>
              <w:t xml:space="preserve">7</w:t>
            </w:r>
          </w:p>
        </w:tc>
        <w:tc>
          <w:tcPr/>
          <w:p>
            <w:pPr>
              <w:pStyle w:val="Compact"/>
            </w:pPr>
            <w:r>
              <w:rPr>
                <w:rStyle w:val="VerbatimChar"/>
              </w:rPr>
              <w:t xml:space="preserve">MatchAnalysisService</w:t>
            </w:r>
            <w:r>
              <w:t xml:space="preserve"> </w:t>
            </w:r>
            <w:r>
              <w:t xml:space="preserve">+</w:t>
            </w:r>
            <w:r>
              <w:t xml:space="preserve"> </w:t>
            </w:r>
            <w:r>
              <w:rPr>
                <w:rStyle w:val="VerbatimChar"/>
              </w:rPr>
              <w:t xml:space="preserve">OpenAiLlmAdapter</w:t>
            </w:r>
            <w:r>
              <w:t xml:space="preserve"> </w:t>
            </w:r>
            <w:r>
              <w:t xml:space="preserve">(WireMock)</w:t>
            </w:r>
          </w:p>
        </w:tc>
      </w:tr>
      <w:tr>
        <w:tc>
          <w:tcPr/>
          <w:p>
            <w:pPr>
              <w:pStyle w:val="Compact"/>
            </w:pPr>
            <w:r>
              <w:rPr>
                <w:b/>
                <w:bCs/>
              </w:rPr>
              <w:t xml:space="preserve">Gesamt</w:t>
            </w:r>
          </w:p>
        </w:tc>
        <w:tc>
          <w:tcPr/>
          <w:p>
            <w:pPr>
              <w:pStyle w:val="Compact"/>
              <w:jc w:val="right"/>
            </w:pPr>
            <w:r>
              <w:rPr>
                <w:b/>
                <w:bCs/>
              </w:rPr>
              <w:t xml:space="preserve">192</w:t>
            </w:r>
          </w:p>
        </w:tc>
        <w:tc>
          <w:tcPr/>
          <w:p>
            <w:pPr>
              <w:pStyle w:val="Compact"/>
            </w:pPr>
            <w:r>
              <w:t xml:space="preserve">Laufzeit ~15 s (ohne Container-Start)</w:t>
            </w:r>
          </w:p>
        </w:tc>
      </w:tr>
    </w:tbl>
    <w:p>
      <w:pPr>
        <w:pStyle w:val="BodyText"/>
      </w:pPr>
      <w:r>
        <w:rPr>
          <w:b/>
          <w:bCs/>
        </w:rPr>
        <w:t xml:space="preserve">Coverage (JaCoCo, aggregiert):</w:t>
      </w:r>
      <w:r>
        <w:t xml:space="preserve"> </w:t>
      </w:r>
      <w:r>
        <w:t xml:space="preserve">Gesamt</w:t>
      </w:r>
      <w:r>
        <w:t xml:space="preserve"> </w:t>
      </w:r>
      <w:r>
        <w:rPr>
          <w:b/>
          <w:bCs/>
        </w:rPr>
        <w:t xml:space="preserve">94,8 %</w:t>
      </w:r>
      <w:r>
        <w:t xml:space="preserve"> </w:t>
      </w:r>
      <w:r>
        <w:t xml:space="preserve">Line (1336/1410) /</w:t>
      </w:r>
      <w:r>
        <w:t xml:space="preserve"> </w:t>
      </w:r>
      <w:r>
        <w:rPr>
          <w:b/>
          <w:bCs/>
        </w:rPr>
        <w:t xml:space="preserve">79,7 %</w:t>
      </w:r>
      <w:r>
        <w:t xml:space="preserve"> </w:t>
      </w:r>
      <w:r>
        <w:t xml:space="preserve">Branch (278/349); je Modul</w:t>
      </w:r>
      <w:r>
        <w:t xml:space="preserve"> </w:t>
      </w:r>
      <w:r>
        <w:rPr>
          <w:rStyle w:val="VerbatimChar"/>
        </w:rPr>
        <w:t xml:space="preserve">match</w:t>
      </w:r>
      <w:r>
        <w:t xml:space="preserve"> </w:t>
      </w:r>
      <w:r>
        <w:t xml:space="preserve">92,0/74,2,</w:t>
      </w:r>
      <w:r>
        <w:t xml:space="preserve"> </w:t>
      </w:r>
      <w:r>
        <w:rPr>
          <w:rStyle w:val="VerbatimChar"/>
        </w:rPr>
        <w:t xml:space="preserve">statistics</w:t>
      </w:r>
      <w:r>
        <w:t xml:space="preserve"> </w:t>
      </w:r>
      <w:r>
        <w:t xml:space="preserve">98,2/89,8,</w:t>
      </w:r>
      <w:r>
        <w:t xml:space="preserve"> </w:t>
      </w:r>
      <w:r>
        <w:rPr>
          <w:rStyle w:val="VerbatimChar"/>
        </w:rPr>
        <w:t xml:space="preserve">player</w:t>
      </w:r>
      <w:r>
        <w:t xml:space="preserve"> </w:t>
      </w:r>
      <w:r>
        <w:t xml:space="preserve">100/70,0,</w:t>
      </w:r>
      <w:r>
        <w:t xml:space="preserve"> </w:t>
      </w:r>
      <w:r>
        <w:rPr>
          <w:rStyle w:val="VerbatimChar"/>
        </w:rPr>
        <w:t xml:space="preserve">ai</w:t>
      </w:r>
      <w:r>
        <w:t xml:space="preserve"> </w:t>
      </w:r>
      <w:r>
        <w:t xml:space="preserve">94,8/72,2,</w:t>
      </w:r>
      <w:r>
        <w:t xml:space="preserve"> </w:t>
      </w:r>
      <w:r>
        <w:rPr>
          <w:rStyle w:val="VerbatimChar"/>
        </w:rPr>
        <w:t xml:space="preserve">common</w:t>
      </w:r>
      <w:r>
        <w:t xml:space="preserve"> </w:t>
      </w:r>
      <w:r>
        <w:t xml:space="preserve">100/75,0. Das Gate (85/70) ist erfüllt.</w:t>
      </w:r>
    </w:p>
    <w:p>
      <w:pPr>
        <w:pStyle w:val="BodyText"/>
      </w:pPr>
      <w:r>
        <w:rPr>
          <w:b/>
          <w:bCs/>
        </w:rPr>
        <w:t xml:space="preserve">Interpretation.</w:t>
      </w:r>
      <w:r>
        <w:br/>
      </w:r>
      <w:r>
        <w:t xml:space="preserve">Abgedeckt ist die fachliche Kernlogik wie Tennis-Zählregeln, Punkt-Attribution/Statistik, Spieler-Regeln und KI-Analyse inkl. Fehlerpfade 502/422/409.</w:t>
      </w:r>
      <w:r>
        <w:br/>
      </w:r>
      <w:r>
        <w:t xml:space="preserve">Die IntegrationTests fahren gegen eine echte PostgreSQL Instanz inkl. Flyway und JWT, der</w:t>
      </w:r>
      <w:r>
        <w:t xml:space="preserve"> </w:t>
      </w:r>
      <w:r>
        <w:rPr>
          <w:rStyle w:val="VerbatimChar"/>
        </w:rPr>
        <w:t xml:space="preserve">ArchitectureTest</w:t>
      </w:r>
      <w:r>
        <w:t xml:space="preserve"> </w:t>
      </w:r>
      <w:r>
        <w:t xml:space="preserve">sichert die Einhaltung der Schichten-/Modulgrenzen.</w:t>
      </w:r>
      <w:r>
        <w:br/>
      </w:r>
      <w:r>
        <w:t xml:space="preserve">Die Branch-Coverage (80 %) liegt erwartungsgemäss unter der Line-Coverage — die offenen Zweige sind überwiegend defensive Pfade (Guards, Mapper-Null-Prüfungen,</w:t>
      </w:r>
      <w:r>
        <w:t xml:space="preserve"> </w:t>
      </w:r>
      <w:r>
        <w:t xml:space="preserve">seltene Scoring-Verzweigungen). Das 70-%-Gate sichert eine Untergrenze, ohne für jeden trivialen Zweig einen Test zu erzwingen.</w:t>
      </w:r>
      <w:r>
        <w:t xml:space="preserve"> </w:t>
      </w:r>
      <w:r>
        <w:t xml:space="preserve">Bewusste Lücken: OpenAI-Happy-Path gegen die echte API (über Fake/WireMock abgebildet; manuelle Verifikation),</w:t>
      </w:r>
      <w:r>
        <w:t xml:space="preserve"> </w:t>
      </w:r>
      <w:r>
        <w:rPr>
          <w:rStyle w:val="VerbatimChar"/>
        </w:rPr>
        <w:t xml:space="preserve">main</w:t>
      </w:r>
      <w:r>
        <w:t xml:space="preserve"> </w:t>
      </w:r>
      <w:r>
        <w:t xml:space="preserve">und reine Config-Klassen.</w:t>
      </w:r>
    </w:p>
    <w:p>
      <w:r>
        <w:pict>
          <v:rect style="width:0;height:1.5pt" o:hralign="center" o:hrstd="t" o:hr="t"/>
        </w:pict>
      </w:r>
    </w:p>
    <w:bookmarkEnd w:id="78"/>
    <w:bookmarkEnd w:id="79"/>
    <w:bookmarkStart w:id="80" w:name="architekturentscheidungen"/>
    <w:p>
      <w:pPr>
        <w:pStyle w:val="Heading2"/>
      </w:pPr>
      <w:r>
        <w:t xml:space="preserve">9. Architekturentscheidungen</w:t>
      </w:r>
    </w:p>
    <w:p>
      <w:pPr>
        <w:pStyle w:val="FirstParagraph"/>
      </w:pPr>
      <w:r>
        <w:t xml:space="preserve">Architecture Decision Records (ADR), jede Entscheidung mit Begründung. Alle Status sind</w:t>
      </w:r>
      <w:r>
        <w:t xml:space="preserve"> </w:t>
      </w:r>
      <w:r>
        <w:rPr>
          <w:b/>
          <w:bCs/>
        </w:rPr>
        <w:t xml:space="preserve">akzeptiert</w:t>
      </w:r>
      <w:r>
        <w:t xml:space="preserve">. Inhaltlich manuell entschieden (siehe §14.2), die KI half nur beim Ausformulieren.</w:t>
      </w:r>
    </w:p>
    <w:p>
      <w:pPr>
        <w:pStyle w:val="BodyText"/>
      </w:pPr>
      <w:r>
        <w:rPr>
          <w:b/>
          <w:bCs/>
        </w:rPr>
        <w:t xml:space="preserve">ADR-01 · Modularer Monolith statt Microservices.</w:t>
      </w:r>
      <w:r>
        <w:t xml:space="preserve"> </w:t>
      </w:r>
      <w:r>
        <w:t xml:space="preserve">V1 ist klein und wird von einem kleinen Team gebaut. Die Microservice-Komplexität (Komplexeres Deployment, Netzwerk-Overhead,</w:t>
      </w:r>
      <w:r>
        <w:t xml:space="preserve"> </w:t>
      </w:r>
      <w:r>
        <w:t xml:space="preserve">Fehlerbehandlung und Recovery bei Ausfall …) ist hier nicht gerechtfertigt. Die Modularisierung als Gradle-Multi-Module erzwingt Modulgrenzen auf Compile-Ebene</w:t>
      </w:r>
      <w:r>
        <w:t xml:space="preserve"> </w:t>
      </w:r>
      <w:r>
        <w:t xml:space="preserve">und erleichtert eine spätere Service-Extraktion.</w:t>
      </w:r>
    </w:p>
    <w:p>
      <w:pPr>
        <w:pStyle w:val="BodyText"/>
      </w:pPr>
      <w:r>
        <w:rPr>
          <w:b/>
          <w:bCs/>
        </w:rPr>
        <w:t xml:space="preserve">ADR-02 · Frontend und Backend in separaten Containern.</w:t>
      </w:r>
      <w:r>
        <w:t xml:space="preserve"> </w:t>
      </w:r>
      <w:r>
        <w:t xml:space="preserve">Angular (via Nginx) und Spring Boot laufen eigenständig; Nginx liefert die statischen Artefakte und proxied</w:t>
      </w:r>
      <w:r>
        <w:t xml:space="preserve"> </w:t>
      </w:r>
      <w:r>
        <w:rPr>
          <w:rStyle w:val="VerbatimChar"/>
        </w:rPr>
        <w:t xml:space="preserve">/api/</w:t>
      </w:r>
      <w:r>
        <w:t xml:space="preserve"> </w:t>
      </w:r>
      <w:r>
        <w:t xml:space="preserve">ans Backend.</w:t>
      </w:r>
      <w:r>
        <w:t xml:space="preserve"> </w:t>
      </w:r>
      <w:r>
        <w:t xml:space="preserve">Ermöglicht unabhängige Skalierung und saubere Separation of Concerns (übliches SPA-+-REST-Muster).</w:t>
      </w:r>
    </w:p>
    <w:p>
      <w:pPr>
        <w:pStyle w:val="BodyText"/>
      </w:pPr>
      <w:r>
        <w:rPr>
          <w:b/>
          <w:bCs/>
        </w:rPr>
        <w:t xml:space="preserve">ADR-03 · Keycloak als Identity Provider.</w:t>
      </w:r>
      <w:r>
        <w:t xml:space="preserve"> </w:t>
      </w:r>
      <w:r>
        <w:t xml:space="preserve">De-facto-Standard für OIDC/OAuth2 mit Out-of-the-box User-Management, Rollen, federated IDPs und Self-Service-Registrierung.</w:t>
      </w:r>
    </w:p>
    <w:p>
      <w:pPr>
        <w:pStyle w:val="BodyText"/>
      </w:pPr>
      <w:r>
        <w:rPr>
          <w:b/>
          <w:bCs/>
        </w:rPr>
        <w:t xml:space="preserve">ADR-04 · PostgreSQL als Datenbank.</w:t>
      </w:r>
      <w:r>
        <w:t xml:space="preserve"> </w:t>
      </w:r>
      <w:r>
        <w:t xml:space="preserve">Bewährte relationale DB mit guter Spring-Integration; das Datenmodell ist klar relational (Player, Match, Set, Point, Stats) — kein NoSQL-Bedarf.</w:t>
      </w:r>
    </w:p>
    <w:p>
      <w:pPr>
        <w:pStyle w:val="BodyText"/>
      </w:pPr>
      <w:r>
        <w:rPr>
          <w:b/>
          <w:bCs/>
        </w:rPr>
        <w:t xml:space="preserve">ADR-05 · REST API als Schnittstellenformat.</w:t>
      </w:r>
      <w:r>
        <w:t xml:space="preserve"> </w:t>
      </w:r>
      <w:r>
        <w:t xml:space="preserve">JSON/REST ist Web-Standard, gut tooling-unterstützt und via OpenAPI/Swagger dokumentierbar. GraphQL würde die Komplexität unnötig erhöhen.</w:t>
      </w:r>
    </w:p>
    <w:p>
      <w:pPr>
        <w:pStyle w:val="BodyText"/>
      </w:pPr>
      <w:r>
        <w:rPr>
          <w:b/>
          <w:bCs/>
        </w:rPr>
        <w:t xml:space="preserve">ADR-06 · Flyway statt Liquibase.</w:t>
      </w:r>
      <w:r>
        <w:t xml:space="preserve"> </w:t>
      </w:r>
      <w:r>
        <w:t xml:space="preserve">Eine PostgreSQL-Instanz, stabiles Schema (6 Kernentitäten): Flyway versioniert plain-SQL ohne XML/YAML-Overhead und ist in Spring Boot auto-konfiguriert.</w:t>
      </w:r>
      <w:r>
        <w:t xml:space="preserve"> </w:t>
      </w:r>
      <w:r>
        <w:t xml:space="preserve">Liquibase-Flexibilität (DB-agnostisch, Rollback-Skripte, Diff) ist nicht nötig (kein DB-Wechsel geplant; Rollbacks via Backup). Skripte unter</w:t>
      </w:r>
      <w:r>
        <w:t xml:space="preserve"> </w:t>
      </w:r>
      <w:r>
        <w:rPr>
          <w:rStyle w:val="VerbatimChar"/>
        </w:rPr>
        <w:t xml:space="preserve">db/migration/</w:t>
      </w:r>
      <w:r>
        <w:t xml:space="preserve">, Baseline</w:t>
      </w:r>
      <w:r>
        <w:t xml:space="preserve"> </w:t>
      </w:r>
      <w:r>
        <w:rPr>
          <w:rStyle w:val="VerbatimChar"/>
        </w:rPr>
        <w:t xml:space="preserve">V1__baseline.sql</w:t>
      </w:r>
      <w:r>
        <w:t xml:space="preserve">.</w:t>
      </w:r>
    </w:p>
    <w:p>
      <w:pPr>
        <w:pStyle w:val="BodyText"/>
      </w:pPr>
      <w:r>
        <w:rPr>
          <w:b/>
          <w:bCs/>
        </w:rPr>
        <w:t xml:space="preserve">ADR-07 · Gradle Multi-Module statt Spring Modulith.</w:t>
      </w:r>
      <w:r>
        <w:t xml:space="preserve"> </w:t>
      </w:r>
      <w:r>
        <w:t xml:space="preserve">Spring Modulith verworfen, weil es modulübergreifend standardmässig auf Application-Events (asynchron)</w:t>
      </w:r>
      <w:r>
        <w:t xml:space="preserve"> </w:t>
      </w:r>
      <w:r>
        <w:t xml:space="preserve">setzt — unnötige Komplexität für synchrone Antworten. Explizite Application-Layer-Interfaces (Ports &amp; Adapters) bilden die Kommunikation sauberer ab.</w:t>
      </w:r>
      <w:r>
        <w:t xml:space="preserve"> </w:t>
      </w:r>
      <w:r>
        <w:t xml:space="preserve">Gradle-Module erzwingen Grenzen zur Compile-Zeit (unerwünschte Abhängigkeiten = Build-Fehler) und erleichtern spätere Service-Extraktion.</w:t>
      </w:r>
    </w:p>
    <w:p>
      <w:pPr>
        <w:pStyle w:val="BodyText"/>
      </w:pPr>
      <w:r>
        <w:rPr>
          <w:b/>
          <w:bCs/>
        </w:rPr>
        <w:t xml:space="preserve">ADR-08 · Angular Material + ngx-charts als UI-Framework.</w:t>
      </w:r>
      <w:r>
        <w:t xml:space="preserve"> </w:t>
      </w:r>
      <w:r>
        <w:t xml:space="preserve">Nutzer bedienen die App während des Matches auf Tablet/Smartphone. Material liefert out-of-the-box touch-optimierte,</w:t>
      </w:r>
      <w:r>
        <w:t xml:space="preserve"> </w:t>
      </w:r>
      <w:r>
        <w:t xml:space="preserve">responsive Komponenten für schnelle Punkterfassung, ist eng mit Angular verzahnt und kostenfrei. ngx-charts ergänzt die Statistik-Visualisierung (FA-08). Die Alternative PrimeNG</w:t>
      </w:r>
      <w:r>
        <w:t xml:space="preserve"> </w:t>
      </w:r>
      <w:r>
        <w:t xml:space="preserve">wäre für V1 Over-Engineering.</w:t>
      </w:r>
    </w:p>
    <w:p>
      <w:pPr>
        <w:pStyle w:val="BodyText"/>
      </w:pPr>
      <w:r>
        <w:rPr>
          <w:b/>
          <w:bCs/>
        </w:rPr>
        <w:t xml:space="preserve">ADR-09 · angular-oauth2-oidc statt keycloak-angular.</w:t>
      </w:r>
      <w:r>
        <w:t xml:space="preserve"> </w:t>
      </w:r>
      <w:r>
        <w:t xml:space="preserve">Generische, standard-konforme OIDC-Library ohne Keycloak-Coupling im Frontend-Code — ein IDP-Wechsel ändert nur Konfiguration, nicht Code.</w:t>
      </w:r>
      <w:r>
        <w:t xml:space="preserve"> </w:t>
      </w:r>
      <w:r>
        <w:t xml:space="preserve">Schlanker (keine</w:t>
      </w:r>
      <w:r>
        <w:t xml:space="preserve"> </w:t>
      </w:r>
      <w:r>
        <w:rPr>
          <w:rStyle w:val="VerbatimChar"/>
        </w:rPr>
        <w:t xml:space="preserve">keycloak-js</w:t>
      </w:r>
      <w:r>
        <w:t xml:space="preserve">-Abhängigkeit), native PKCE-Unterstützung, aktiv gepflegt. Umsetzung:</w:t>
      </w:r>
      <w:r>
        <w:t xml:space="preserve"> </w:t>
      </w:r>
      <w:r>
        <w:rPr>
          <w:rStyle w:val="VerbatimChar"/>
        </w:rPr>
        <w:t xml:space="preserve">OAuthModuleConfig</w:t>
      </w:r>
      <w:r>
        <w:t xml:space="preserve">, Bearer-Token-Interceptor,</w:t>
      </w:r>
      <w:r>
        <w:t xml:space="preserve"> </w:t>
      </w:r>
      <w:r>
        <w:rPr>
          <w:rStyle w:val="VerbatimChar"/>
        </w:rPr>
        <w:t xml:space="preserve">CanActivateFn</w:t>
      </w:r>
      <w:r>
        <w:t xml:space="preserve">-Guard auf allen Routes.</w:t>
      </w:r>
    </w:p>
    <w:p>
      <w:pPr>
        <w:pStyle w:val="BodyText"/>
      </w:pPr>
      <w:r>
        <w:rPr>
          <w:b/>
          <w:bCs/>
        </w:rPr>
        <w:t xml:space="preserve">ADR-10 · Spring AI mit OpenAI. Provider-Abstraktion via</w:t>
      </w:r>
      <w:r>
        <w:rPr>
          <w:b/>
          <w:bCs/>
        </w:rPr>
        <w:t xml:space="preserve"> </w:t>
      </w:r>
      <w:r>
        <w:rPr>
          <w:rStyle w:val="VerbatimChar"/>
          <w:b/>
          <w:bCs/>
        </w:rPr>
        <w:t xml:space="preserve">LlmClientPort</w:t>
      </w:r>
      <w:r>
        <w:rPr>
          <w:b/>
          <w:bCs/>
        </w:rPr>
        <w:t xml:space="preserve">.</w:t>
      </w:r>
      <w:r>
        <w:t xml:space="preserve"> </w:t>
      </w:r>
      <w:r>
        <w:t xml:space="preserve">Spring AI 2.0.x (Boot-4-kompatibel) liefert mit</w:t>
      </w:r>
      <w:r>
        <w:t xml:space="preserve"> </w:t>
      </w:r>
      <w:r>
        <w:rPr>
          <w:rStyle w:val="VerbatimChar"/>
        </w:rPr>
        <w:t xml:space="preserve">ChatClient.entity(Class)</w:t>
      </w:r>
      <w:r>
        <w:t xml:space="preserve"> </w:t>
      </w:r>
      <w:r>
        <w:t xml:space="preserve">strukturierten JSON-Output</w:t>
      </w:r>
      <w:r>
        <w:t xml:space="preserve"> </w:t>
      </w:r>
      <w:r>
        <w:t xml:space="preserve">statt fragiler Parser. OpenAI als initialer Provider (Default</w:t>
      </w:r>
      <w:r>
        <w:t xml:space="preserve"> </w:t>
      </w:r>
      <w:r>
        <w:rPr>
          <w:rStyle w:val="VerbatimChar"/>
        </w:rPr>
        <w:t xml:space="preserve">gpt-4o-mini</w:t>
      </w:r>
      <w:r>
        <w:t xml:space="preserve">, via Property tauschbar); ein zweiter Adapter (Anthropic, Ollama) ist über den Out-Port</w:t>
      </w:r>
      <w:r>
        <w:t xml:space="preserve"> </w:t>
      </w:r>
      <w:r>
        <w:rPr>
          <w:rStyle w:val="VerbatimChar"/>
        </w:rPr>
        <w:t xml:space="preserve">LlmClientPort</w:t>
      </w:r>
      <w:r>
        <w:t xml:space="preserve"> </w:t>
      </w:r>
      <w:r>
        <w:t xml:space="preserve">ohne Use-Case-Eingriff ergänzbar. Aktivierung des</w:t>
      </w:r>
      <w:r>
        <w:t xml:space="preserve"> </w:t>
      </w:r>
      <w:r>
        <w:rPr>
          <w:rStyle w:val="VerbatimChar"/>
        </w:rPr>
        <w:t xml:space="preserve">OpenAiLlmAdapter</w:t>
      </w:r>
      <w:r>
        <w:t xml:space="preserve"> </w:t>
      </w:r>
      <w:r>
        <w:t xml:space="preserve">per</w:t>
      </w:r>
      <w:r>
        <w:t xml:space="preserve"> </w:t>
      </w:r>
      <w:r>
        <w:rPr>
          <w:rStyle w:val="VerbatimChar"/>
        </w:rPr>
        <w:t xml:space="preserve">@ConditionalOnExpression</w:t>
      </w:r>
      <w:r>
        <w:t xml:space="preserve"> </w:t>
      </w:r>
      <w:r>
        <w:t xml:space="preserve">auf nicht-leeren API-Key, sonst deterministischer</w:t>
      </w:r>
      <w:r>
        <w:t xml:space="preserve"> </w:t>
      </w:r>
      <w:r>
        <w:rPr>
          <w:rStyle w:val="VerbatimChar"/>
        </w:rPr>
        <w:t xml:space="preserve">FakeLlmClientAdapter</w:t>
      </w:r>
      <w:r>
        <w:t xml:space="preserve">.</w:t>
      </w:r>
      <w:r>
        <w:t xml:space="preserve"> </w:t>
      </w:r>
      <w:r>
        <w:t xml:space="preserve">Analyse wird einmal pro Match generiert und persistiert (Kostenkontrolle, Reproduzierbarkeit).</w:t>
      </w:r>
      <w:r>
        <w:t xml:space="preserve"> </w:t>
      </w:r>
      <w:r>
        <w:rPr>
          <w:b/>
          <w:bCs/>
        </w:rPr>
        <w:t xml:space="preserve">Bewusst kein RAG / keine Vektor-DB:</w:t>
      </w:r>
      <w:r>
        <w:t xml:space="preserve"> </w:t>
      </w:r>
      <w:r>
        <w:t xml:space="preserve">der Analyse-Input ist strukturierte</w:t>
      </w:r>
      <w:r>
        <w:t xml:space="preserve"> </w:t>
      </w:r>
      <w:r>
        <w:t xml:space="preserve">Numerik (wenige Dutzend Felder pro Match), passt in einen Prompt-Context; eine Embedding-Schicht wäre Over-Engineering. Für V2 (Head-to-Head über N Matches) wird das neu bewertet.</w:t>
      </w:r>
    </w:p>
    <w:p>
      <w:pPr>
        <w:pStyle w:val="BodyText"/>
      </w:pPr>
      <w:r>
        <w:rPr>
          <w:b/>
          <w:bCs/>
        </w:rPr>
        <w:t xml:space="preserve">ADR-11 · GitHub Actions und aggregiertes JaCoCo-Coverage-Gate.</w:t>
      </w:r>
      <w:r>
        <w:t xml:space="preserve"> </w:t>
      </w:r>
      <w:r>
        <w:t xml:space="preserve">Qualität wird erzwungen, nicht nur empfohlen: Zwei GitHub-Actions-Workflows (Backend und Frontend) laufen bei</w:t>
      </w:r>
      <w:r>
        <w:t xml:space="preserve"> </w:t>
      </w:r>
      <w:r>
        <w:t xml:space="preserve">jedem Push und Pull Request auf</w:t>
      </w:r>
      <w:r>
        <w:t xml:space="preserve"> </w:t>
      </w:r>
      <w:r>
        <w:rPr>
          <w:rStyle w:val="VerbatimChar"/>
        </w:rPr>
        <w:t xml:space="preserve">develop</w:t>
      </w:r>
      <w:r>
        <w:t xml:space="preserve"> </w:t>
      </w:r>
      <w:r>
        <w:t xml:space="preserve">und</w:t>
      </w:r>
      <w:r>
        <w:t xml:space="preserve"> </w:t>
      </w:r>
      <w:r>
        <w:rPr>
          <w:rStyle w:val="VerbatimChar"/>
        </w:rPr>
        <w:t xml:space="preserve">main</w:t>
      </w:r>
      <w:r>
        <w:t xml:space="preserve"> </w:t>
      </w:r>
      <w:r>
        <w:t xml:space="preserve">und sind als</w:t>
      </w:r>
      <w:r>
        <w:t xml:space="preserve"> </w:t>
      </w:r>
      <w:r>
        <w:rPr>
          <w:i/>
          <w:iCs/>
        </w:rPr>
        <w:t xml:space="preserve">required status checks</w:t>
      </w:r>
      <w:r>
        <w:t xml:space="preserve"> </w:t>
      </w:r>
      <w:r>
        <w:t xml:space="preserve">gesetzt — ohne beide grün kein Merge.</w:t>
      </w:r>
      <w:r>
        <w:t xml:space="preserve"> </w:t>
      </w:r>
      <w:r>
        <w:t xml:space="preserve">Die Backend-Coverage misst JaCoCo modulübergreifend als Summe: Die Integrationstests liegen im</w:t>
      </w:r>
      <w:r>
        <w:t xml:space="preserve"> </w:t>
      </w:r>
      <w:r>
        <w:rPr>
          <w:rStyle w:val="VerbatimChar"/>
        </w:rPr>
        <w:t xml:space="preserve">app</w:t>
      </w:r>
      <w:r>
        <w:t xml:space="preserve">-Modul, decken aber alle Module ab,</w:t>
      </w:r>
      <w:r>
        <w:t xml:space="preserve"> </w:t>
      </w:r>
      <w:r>
        <w:t xml:space="preserve">weshalb ein Gate pro Modul zu niedrig zählen würde. Das Gate hängt in</w:t>
      </w:r>
      <w:r>
        <w:t xml:space="preserve"> </w:t>
      </w:r>
      <w:r>
        <w:rPr>
          <w:rStyle w:val="VerbatimChar"/>
        </w:rPr>
        <w:t xml:space="preserve">check</w:t>
      </w:r>
      <w:r>
        <w:t xml:space="preserve"> </w:t>
      </w:r>
      <w:r>
        <w:t xml:space="preserve">und verlangt</w:t>
      </w:r>
      <w:r>
        <w:t xml:space="preserve"> </w:t>
      </w:r>
      <w:r>
        <w:rPr>
          <w:b/>
          <w:bCs/>
        </w:rPr>
        <w:t xml:space="preserve">85 % Line / 70 % Branch</w:t>
      </w:r>
      <w:r>
        <w:t xml:space="preserve"> </w:t>
      </w:r>
      <w:r>
        <w:t xml:space="preserve">—</w:t>
      </w:r>
      <w:r>
        <w:t xml:space="preserve"> </w:t>
      </w:r>
      <w:r>
        <w:t xml:space="preserve">bewusst knapp unter dem Ist-Stand (~95 % / ~80 %), damit normale Schwankungen den Build nicht brechen. Die Workflows laufen</w:t>
      </w:r>
      <w:r>
        <w:t xml:space="preserve"> </w:t>
      </w:r>
      <w:r>
        <w:t xml:space="preserve">absichtlich</w:t>
      </w:r>
      <w:r>
        <w:t xml:space="preserve"> </w:t>
      </w:r>
      <w:r>
        <w:rPr>
          <w:b/>
          <w:bCs/>
        </w:rPr>
        <w:t xml:space="preserve">ohne Pfadfilter</w:t>
      </w:r>
      <w:r>
        <w:t xml:space="preserve">, da ein</w:t>
      </w:r>
      <w:r>
        <w:t xml:space="preserve"> </w:t>
      </w:r>
      <w:r>
        <w:rPr>
          <w:rStyle w:val="VerbatimChar"/>
        </w:rPr>
        <w:t xml:space="preserve">required Check</w:t>
      </w:r>
      <w:r>
        <w:t xml:space="preserve">, der wegen eines Pfadfilters gar nicht erst startet, den Merge sonst</w:t>
      </w:r>
      <w:r>
        <w:t xml:space="preserve"> </w:t>
      </w:r>
      <w:r>
        <w:t xml:space="preserve">dauerhaft blockieren würde. Damit ein Administrator zur Not auch ohne die</w:t>
      </w:r>
      <w:r>
        <w:t xml:space="preserve"> </w:t>
      </w:r>
      <w:r>
        <w:rPr>
          <w:rStyle w:val="VerbatimChar"/>
        </w:rPr>
        <w:t xml:space="preserve">required Checks</w:t>
      </w:r>
      <w:r>
        <w:t xml:space="preserve"> </w:t>
      </w:r>
      <w:r>
        <w:t xml:space="preserve">einen Merge durchführen kann, bleibt</w:t>
      </w:r>
      <w:r>
        <w:t xml:space="preserve"> </w:t>
      </w:r>
      <w:r>
        <w:rPr>
          <w:rStyle w:val="VerbatimChar"/>
        </w:rPr>
        <w:t xml:space="preserve">enforce_admins</w:t>
      </w:r>
      <w:r>
        <w:t xml:space="preserve"> </w:t>
      </w:r>
      <w:r>
        <w:t xml:space="preserve">auf</w:t>
      </w:r>
      <w:r>
        <w:t xml:space="preserve"> </w:t>
      </w:r>
      <w:r>
        <w:rPr>
          <w:rStyle w:val="VerbatimChar"/>
        </w:rPr>
        <w:t xml:space="preserve">false</w:t>
      </w:r>
      <w:r>
        <w:t xml:space="preserve"> </w:t>
      </w:r>
      <w:r>
        <w:t xml:space="preserve">gesetzt.</w:t>
      </w:r>
    </w:p>
    <w:p>
      <w:pPr>
        <w:pStyle w:val="BodyText"/>
      </w:pPr>
      <w:r>
        <w:rPr>
          <w:b/>
          <w:bCs/>
        </w:rPr>
        <w:t xml:space="preserve">ADR-12 · Scoring im</w:t>
      </w:r>
      <w:r>
        <w:rPr>
          <w:b/>
          <w:bCs/>
        </w:rPr>
        <w:t xml:space="preserve"> </w:t>
      </w:r>
      <w:r>
        <w:rPr>
          <w:rStyle w:val="VerbatimChar"/>
          <w:b/>
          <w:bCs/>
        </w:rPr>
        <w:t xml:space="preserve">match-module</w:t>
      </w:r>
      <w:r>
        <w:rPr>
          <w:b/>
          <w:bCs/>
        </w:rPr>
        <w:t xml:space="preserve"> </w:t>
      </w:r>
      <w:r>
        <w:rPr>
          <w:b/>
          <w:bCs/>
        </w:rPr>
        <w:t xml:space="preserve">statt eigenem</w:t>
      </w:r>
      <w:r>
        <w:rPr>
          <w:b/>
          <w:bCs/>
        </w:rPr>
        <w:t xml:space="preserve"> </w:t>
      </w:r>
      <w:r>
        <w:rPr>
          <w:rStyle w:val="VerbatimChar"/>
          <w:b/>
          <w:bCs/>
        </w:rPr>
        <w:t xml:space="preserve">scoring-module</w:t>
      </w:r>
      <w:r>
        <w:rPr>
          <w:b/>
          <w:bCs/>
        </w:rPr>
        <w:t xml:space="preserve">.</w:t>
      </w:r>
      <w:r>
        <w:t xml:space="preserve"> </w:t>
      </w:r>
      <w:r>
        <w:t xml:space="preserve">Bei der Umsetzung konsolidiert: Punkte erfassen/zählen ist das</w:t>
      </w:r>
      <w:r>
        <w:t xml:space="preserve"> </w:t>
      </w:r>
      <w:r>
        <w:rPr>
          <w:b/>
          <w:bCs/>
        </w:rPr>
        <w:t xml:space="preserve">Kernverhalten</w:t>
      </w:r>
      <w:r>
        <w:t xml:space="preserve"> </w:t>
      </w:r>
      <w:r>
        <w:t xml:space="preserve">eines Matches und operiert untrennbar auf dessen Zustand — eine Modulgrenze hätte feingranularen Port-Verkehr ohne fachlichen Mehrwert erzwungen.</w:t>
      </w:r>
      <w:r>
        <w:t xml:space="preserve"> </w:t>
      </w:r>
      <w:r>
        <w:t xml:space="preserve">Scoring bleibt intern als</w:t>
      </w:r>
      <w:r>
        <w:t xml:space="preserve"> </w:t>
      </w:r>
      <w:r>
        <w:rPr>
          <w:rStyle w:val="VerbatimChar"/>
        </w:rPr>
        <w:t xml:space="preserve">ScoringService</w:t>
      </w:r>
      <w:r>
        <w:t xml:space="preserve"> </w:t>
      </w:r>
      <w:r>
        <w:t xml:space="preserve">gekapselt (spätere Extraktion möglich).</w:t>
      </w:r>
    </w:p>
    <w:p>
      <w:pPr>
        <w:pStyle w:val="BodyText"/>
      </w:pPr>
      <w:r>
        <w:rPr>
          <w:b/>
          <w:bCs/>
        </w:rPr>
        <w:t xml:space="preserve">ADR-13 · Gemeinsames lesendes Domänenmodell statt DTO-Mapping an jeder Grenze.</w:t>
      </w:r>
      <w:r>
        <w:t xml:space="preserve"> </w:t>
      </w:r>
      <w:r>
        <w:t xml:space="preserve">Module rufen fremdes Verhalten nur über Ports auf (RB-T06),</w:t>
      </w:r>
      <w:r>
        <w:t xml:space="preserve"> </w:t>
      </w:r>
      <w:r>
        <w:t xml:space="preserve">verwenden aber stabile Domänen-Wertobjekte direkt als Read-Model (z. B. liest</w:t>
      </w:r>
      <w:r>
        <w:t xml:space="preserve"> </w:t>
      </w:r>
      <w:r>
        <w:rPr>
          <w:rStyle w:val="VerbatimChar"/>
        </w:rPr>
        <w:t xml:space="preserve">statistics-module</w:t>
      </w:r>
      <w:r>
        <w:t xml:space="preserve"> </w:t>
      </w:r>
      <w:r>
        <w:rPr>
          <w:rStyle w:val="VerbatimChar"/>
        </w:rPr>
        <w:t xml:space="preserve">Point</w:t>
      </w:r>
      <w:r>
        <w:t xml:space="preserve">s,</w:t>
      </w:r>
      <w:r>
        <w:t xml:space="preserve"> </w:t>
      </w:r>
      <w:r>
        <w:rPr>
          <w:rStyle w:val="VerbatimChar"/>
        </w:rPr>
        <w:t xml:space="preserve">ai-module</w:t>
      </w:r>
      <w:r>
        <w:t xml:space="preserve"> </w:t>
      </w:r>
      <w:r>
        <w:rPr>
          <w:rStyle w:val="VerbatimChar"/>
        </w:rPr>
        <w:t xml:space="preserve">Match</w:t>
      </w:r>
      <w:r>
        <w:t xml:space="preserve">/</w:t>
      </w:r>
      <w:r>
        <w:rPr>
          <w:rStyle w:val="VerbatimChar"/>
        </w:rPr>
        <w:t xml:space="preserve">Player</w:t>
      </w:r>
      <w:r>
        <w:t xml:space="preserve">/</w:t>
      </w:r>
      <w:r>
        <w:rPr>
          <w:rStyle w:val="VerbatimChar"/>
        </w:rPr>
        <w:t xml:space="preserve">MatchStatistics</w:t>
      </w:r>
      <w:r>
        <w:t xml:space="preserve">).</w:t>
      </w:r>
      <w:r>
        <w:t xml:space="preserve"> </w:t>
      </w:r>
      <w:r>
        <w:t xml:space="preserve">Diese Typen sind framework-frei und stabil. Spiegel-DTOs an jeder Grenze wären für einen Monolithen Over-Engineering und Duplikation.</w:t>
      </w:r>
      <w:r>
        <w:t xml:space="preserve"> </w:t>
      </w:r>
      <w:r>
        <w:t xml:space="preserve">Abhängigkeiten bleiben einwärts gerichtet und zyklenfrei (</w:t>
      </w:r>
      <w:r>
        <w:rPr>
          <w:rStyle w:val="VerbatimChar"/>
        </w:rPr>
        <w:t xml:space="preserve">ArchitectureTest</w:t>
      </w:r>
      <w:r>
        <w:t xml:space="preserve">). Bei späterer Service-Extraktion werden sie zu Vertragstypen/DTOs.</w:t>
      </w:r>
    </w:p>
    <w:p>
      <w:pPr>
        <w:pStyle w:val="BodyText"/>
      </w:pPr>
      <w:r>
        <w:rPr>
          <w:b/>
          <w:bCs/>
        </w:rPr>
        <w:t xml:space="preserve">ADR-14 · Versionierung nach SemVer 2.0.0, Changelog nach „Keep a Changelog” 1.1.0.</w:t>
      </w:r>
      <w:r>
        <w:t xml:space="preserve"> </w:t>
      </w:r>
      <w:r>
        <w:t xml:space="preserve">Beide sind der De-facto-Standard im Java- und JS-Ökosystem.</w:t>
      </w:r>
      <w:r>
        <w:t xml:space="preserve"> </w:t>
      </w:r>
      <w:r>
        <w:t xml:space="preserve">Solange die Version bei</w:t>
      </w:r>
      <w:r>
        <w:t xml:space="preserve"> </w:t>
      </w:r>
      <w:r>
        <w:rPr>
          <w:rStyle w:val="VerbatimChar"/>
        </w:rPr>
        <w:t xml:space="preserve">0.x</w:t>
      </w:r>
      <w:r>
        <w:t xml:space="preserve"> </w:t>
      </w:r>
      <w:r>
        <w:t xml:space="preserve">steht, gilt bereits eine MINOR-Erhöhung als potenziell breaking — das passt zum MVP, dessen Datenmodell und API noch in Bewegung sind.</w:t>
      </w:r>
      <w:r>
        <w:t xml:space="preserve"> </w:t>
      </w:r>
      <w:r>
        <w:t xml:space="preserve">Ab</w:t>
      </w:r>
      <w:r>
        <w:t xml:space="preserve"> </w:t>
      </w:r>
      <w:r>
        <w:rPr>
          <w:rStyle w:val="VerbatimChar"/>
        </w:rPr>
        <w:t xml:space="preserve">1.0.0</w:t>
      </w:r>
      <w:r>
        <w:t xml:space="preserve"> </w:t>
      </w:r>
      <w:r>
        <w:t xml:space="preserve">greifen die strengen SemVer-Regeln (breaking changes nur bei einer MAJOR-Erhöhung). Die Änderungen werden in</w:t>
      </w:r>
      <w:r>
        <w:t xml:space="preserve"> </w:t>
      </w:r>
      <w:r>
        <w:rPr>
          <w:rStyle w:val="VerbatimChar"/>
        </w:rPr>
        <w:t xml:space="preserve">CHANGELOG.md</w:t>
      </w:r>
      <w:r>
        <w:t xml:space="preserve"> </w:t>
      </w:r>
      <w:r>
        <w:t xml:space="preserve">gepflegt.</w:t>
      </w:r>
      <w:r>
        <w:t xml:space="preserve"> </w:t>
      </w:r>
      <w:r>
        <w:t xml:space="preserve">Ein Sammelabschnitt</w:t>
      </w:r>
      <w:r>
        <w:t xml:space="preserve"> </w:t>
      </w:r>
      <w:r>
        <w:rPr>
          <w:rStyle w:val="VerbatimChar"/>
        </w:rPr>
        <w:t xml:space="preserve">[Unreleased]</w:t>
      </w:r>
      <w:r>
        <w:t xml:space="preserve"> </w:t>
      </w:r>
      <w:r>
        <w:t xml:space="preserve">nimmt laufend neue Einträge auf, geordnet nach den Kategorien Added/Changed/Deprecated/Removed/Fixed/Security.</w:t>
      </w:r>
      <w:r>
        <w:t xml:space="preserve"> </w:t>
      </w:r>
      <w:r>
        <w:t xml:space="preserve">Der Changelog wird vorerst bewusst von Hand statt automatisiert geführt — Werkzeuge wie release-please wären für ein Ein-Personen-MVP Over-Engineering.</w:t>
      </w:r>
      <w:r>
        <w:t xml:space="preserve"> </w:t>
      </w:r>
      <w:r>
        <w:t xml:space="preserve">Jede Version wird als Git-Tag</w:t>
      </w:r>
      <w:r>
        <w:t xml:space="preserve"> </w:t>
      </w:r>
      <w:r>
        <w:rPr>
          <w:rStyle w:val="VerbatimChar"/>
        </w:rPr>
        <w:t xml:space="preserve">vX.Y.Z</w:t>
      </w:r>
      <w:r>
        <w:t xml:space="preserve"> </w:t>
      </w:r>
      <w:r>
        <w:t xml:space="preserve">markiert.</w:t>
      </w:r>
    </w:p>
    <w:p>
      <w:pPr>
        <w:pStyle w:val="BodyText"/>
      </w:pPr>
      <w:r>
        <w:rPr>
          <w:b/>
          <w:bCs/>
        </w:rPr>
        <w:t xml:space="preserve">ADR-15 · Nginx als Laufzeit-Server der SPA (kein Node).</w:t>
      </w:r>
      <w:r>
        <w:t xml:space="preserve"> </w:t>
      </w:r>
      <w:r>
        <w:rPr>
          <w:rStyle w:val="VerbatimChar"/>
        </w:rPr>
        <w:t xml:space="preserve">ng build</w:t>
      </w:r>
      <w:r>
        <w:t xml:space="preserve"> </w:t>
      </w:r>
      <w:r>
        <w:t xml:space="preserve">erzeugt rein statische Artefakte — Node.js ist nur Build-/Testwerkzeug</w:t>
      </w:r>
      <w:r>
        <w:t xml:space="preserve"> </w:t>
      </w:r>
      <w:r>
        <w:t xml:space="preserve">(CI, Dockerfile-Build-Stage,</w:t>
      </w:r>
      <w:r>
        <w:t xml:space="preserve"> </w:t>
      </w:r>
      <w:r>
        <w:rPr>
          <w:rStyle w:val="VerbatimChar"/>
        </w:rPr>
        <w:t xml:space="preserve">ng serve</w:t>
      </w:r>
      <w:r>
        <w:t xml:space="preserve">), nicht Laufzeit. Ein Multi-Stage-Build liefert das finale Image auf</w:t>
      </w:r>
      <w:r>
        <w:t xml:space="preserve"> </w:t>
      </w:r>
      <w:r>
        <w:rPr>
          <w:rStyle w:val="VerbatimChar"/>
        </w:rPr>
        <w:t xml:space="preserve">nginx-unprivileged:alpine</w:t>
      </w:r>
      <w:r>
        <w:t xml:space="preserve"> </w:t>
      </w:r>
      <w:r>
        <w:t xml:space="preserve">(kein Node im Image → kleine Angriffsfläche,</w:t>
      </w:r>
      <w:r>
        <w:t xml:space="preserve"> </w:t>
      </w:r>
      <w:r>
        <w:rPr>
          <w:rStyle w:val="VerbatimChar"/>
        </w:rPr>
        <w:t xml:space="preserve">mem_limit: 128m</w:t>
      </w:r>
      <w:r>
        <w:t xml:space="preserve">, non-root UID 101,</w:t>
      </w:r>
      <w:r>
        <w:t xml:space="preserve"> </w:t>
      </w:r>
      <w:r>
        <w:rPr>
          <w:rStyle w:val="VerbatimChar"/>
        </w:rPr>
        <w:t xml:space="preserve">read_only</w:t>
      </w:r>
      <w:r>
        <w:t xml:space="preserve">). Nginx übernimmt zugleich TLS-Terminierung und</w:t>
      </w:r>
      <w:r>
        <w:t xml:space="preserve"> </w:t>
      </w:r>
      <w:r>
        <w:t xml:space="preserve">HTTP→HTTPS-Redirect (</w:t>
      </w:r>
      <w:r>
        <w:rPr>
          <w:rStyle w:val="VerbatimChar"/>
        </w:rPr>
        <w:t xml:space="preserve">nginx.prod.conf</w:t>
      </w:r>
      <w:r>
        <w:t xml:space="preserve">), Reverse-Proxy</w:t>
      </w:r>
      <w:r>
        <w:t xml:space="preserve"> </w:t>
      </w:r>
      <w:r>
        <w:rPr>
          <w:rStyle w:val="VerbatimChar"/>
        </w:rPr>
        <w:t xml:space="preserve">/api/</w:t>
      </w:r>
      <w:r>
        <w:t xml:space="preserve"> </w:t>
      </w:r>
      <w:r>
        <w:t xml:space="preserve">ans Backend (eine Origin → kein CORS, Backend ohne öffentlichen Port), Security-Header</w:t>
      </w:r>
      <w:r>
        <w:t xml:space="preserve"> </w:t>
      </w:r>
      <w:r>
        <w:t xml:space="preserve">(CSP/HSTS/…) und Per-IP-Rate-Limit auf den KI-Endpoint sowie SPA-Fallback (</w:t>
      </w:r>
      <w:r>
        <w:rPr>
          <w:rStyle w:val="VerbatimChar"/>
        </w:rPr>
        <w:t xml:space="preserve">try_files … /index.html</w:t>
      </w:r>
      <w:r>
        <w:t xml:space="preserve">) für Deep-Links. Ein Node-Runtime-Server wäre</w:t>
      </w:r>
      <w:r>
        <w:t xml:space="preserve"> </w:t>
      </w:r>
      <w:r>
        <w:t xml:space="preserve">nur bei SSR/Angular Universal nötig — für die reine Client-SPA Over-Engineering. Ergänzt die Container-Trennung aus ADR-02.</w:t>
      </w:r>
    </w:p>
    <w:p>
      <w:pPr>
        <w:pStyle w:val="BodyText"/>
      </w:pPr>
      <w:r>
        <w:rPr>
          <w:b/>
          <w:bCs/>
        </w:rPr>
        <w:t xml:space="preserve">ADR-16 · MailHog als SMTP-Sink im Dev, echter Provider erst in Prod.</w:t>
      </w:r>
      <w:r>
        <w:t xml:space="preserve"> </w:t>
      </w:r>
      <w:r>
        <w:t xml:space="preserve">Keycloak versendet Verifizierungs-/Passwort-Mails (verifyEmail, §7.1.3).</w:t>
      </w:r>
      <w:r>
        <w:t xml:space="preserve"> </w:t>
      </w:r>
      <w:r>
        <w:t xml:space="preserve">Im Dev fängt der Container</w:t>
      </w:r>
      <w:r>
        <w:t xml:space="preserve"> </w:t>
      </w:r>
      <w:r>
        <w:rPr>
          <w:rStyle w:val="VerbatimChar"/>
        </w:rPr>
        <w:t xml:space="preserve">mailhog</w:t>
      </w:r>
      <w:r>
        <w:t xml:space="preserve"> </w:t>
      </w:r>
      <w:r>
        <w:t xml:space="preserve">allen SMTP-Verkehr ab (</w:t>
      </w:r>
      <w:r>
        <w:rPr>
          <w:rStyle w:val="VerbatimChar"/>
        </w:rPr>
        <w:t xml:space="preserve">:1025</w:t>
      </w:r>
      <w:r>
        <w:t xml:space="preserve"> </w:t>
      </w:r>
      <w:r>
        <w:t xml:space="preserve">SMTP,</w:t>
      </w:r>
      <w:r>
        <w:t xml:space="preserve"> </w:t>
      </w:r>
      <w:r>
        <w:rPr>
          <w:rStyle w:val="VerbatimChar"/>
        </w:rPr>
        <w:t xml:space="preserve">:8025</w:t>
      </w:r>
      <w:r>
        <w:t xml:space="preserve"> </w:t>
      </w:r>
      <w:r>
        <w:t xml:space="preserve">Web-UI) statt real zuzustellen, so ist kein Provider-Account/API-Key/Domain-Setup</w:t>
      </w:r>
      <w:r>
        <w:t xml:space="preserve"> </w:t>
      </w:r>
      <w:r>
        <w:t xml:space="preserve">für die Entwicklung nötig, keine Zustellkosten, keine versehentlichen Mails an echte Adressen, jede Test-Mail ist sofort in der Web-UI einsehbar.</w:t>
      </w:r>
      <w:r>
        <w:t xml:space="preserve"> </w:t>
      </w:r>
      <w:r>
        <w:t xml:space="preserve">Ein transaktionaler Dienst (Mailgun/SendGrid) wäre im Dev Over-Engineering. In Produktion wird MailHog durch einen echten SMTP-Server ersetzt.</w:t>
      </w:r>
      <w:r>
        <w:t xml:space="preserve"> </w:t>
      </w:r>
      <w:r>
        <w:t xml:space="preserve">Die Keycloak-Konfiguration bleibt dabei unverändert, nur die</w:t>
      </w:r>
      <w:r>
        <w:t xml:space="preserve"> </w:t>
      </w:r>
      <w:r>
        <w:rPr>
          <w:rStyle w:val="VerbatimChar"/>
        </w:rPr>
        <w:t xml:space="preserve">${KC_SMTP_*}</w:t>
      </w:r>
      <w:r>
        <w:t xml:space="preserve">-Umgebungsvariablen werden mit echten Werten belegt. Das Compose-Overlay</w:t>
      </w:r>
      <w:r>
        <w:t xml:space="preserve"> </w:t>
      </w:r>
      <w:r>
        <w:rPr>
          <w:rStyle w:val="VerbatimChar"/>
        </w:rPr>
        <w:t xml:space="preserve">compose.prod.yml</w:t>
      </w:r>
      <w:r>
        <w:t xml:space="preserve"> </w:t>
      </w:r>
      <w:r>
        <w:t xml:space="preserve">entfernt zusätzlich den MailHog-Dienst (</w:t>
      </w:r>
      <w:r>
        <w:rPr>
          <w:rStyle w:val="VerbatimChar"/>
        </w:rPr>
        <w:t xml:space="preserve">mailhog: !reset null</w:t>
      </w:r>
      <w:r>
        <w:t xml:space="preserve">). Damit ist die Randbedingung RB-T07 umgesetzt.</w:t>
      </w:r>
    </w:p>
    <w:p>
      <w:r>
        <w:pict>
          <v:rect style="width:0;height:1.5pt" o:hralign="center" o:hrstd="t" o:hr="t"/>
        </w:pict>
      </w:r>
    </w:p>
    <w:bookmarkEnd w:id="80"/>
    <w:bookmarkStart w:id="84" w:name="qualitätsanforderungen"/>
    <w:p>
      <w:pPr>
        <w:pStyle w:val="Heading2"/>
      </w:pPr>
      <w:r>
        <w:t xml:space="preserve">10. Qualitätsanforderungen</w:t>
      </w:r>
    </w:p>
    <w:bookmarkStart w:id="81" w:name="funktionale-anforderungen-smart"/>
    <w:p>
      <w:pPr>
        <w:pStyle w:val="Heading3"/>
      </w:pPr>
      <w:r>
        <w:t xml:space="preserve">10.1 Funktionale Anforderungen (SMART)</w:t>
      </w:r>
    </w:p>
    <w:p>
      <w:pPr>
        <w:pStyle w:val="FirstParagraph"/>
      </w:pPr>
      <w:r>
        <w:t xml:space="preserve">Antwortzeit-Ziele sind übergreifend in §1.2 (QZ-03/04/06) und §10.2 (NFA-01) festgelegt (Write ≤ 250 ms, Read ≤ 500 ms, KI ≤ 60 s) und werden unten nicht je FA wiederholt.</w:t>
      </w:r>
    </w:p>
    <w:tbl>
      <w:tblPr>
        <w:tblStyle w:val="Table"/>
        <w:tblW w:type="pct" w:w="5000"/>
        <w:tblLayout w:type="fixed"/>
        <w:tblLook w:firstRow="1" w:lastRow="0" w:firstColumn="0" w:lastColumn="0" w:noHBand="0" w:noVBand="0" w:val="0020"/>
      </w:tblPr>
      <w:tblGrid>
        <w:gridCol w:w="597"/>
        <w:gridCol w:w="1942"/>
        <w:gridCol w:w="4034"/>
        <w:gridCol w:w="1344"/>
      </w:tblGrid>
      <w:tr>
        <w:trPr>
          <w:tblHeader w:val="on"/>
        </w:trPr>
        <w:tc>
          <w:tcPr/>
          <w:p>
            <w:pPr>
              <w:pStyle w:val="Compact"/>
            </w:pPr>
            <w:r>
              <w:t xml:space="preserve">ID</w:t>
            </w:r>
          </w:p>
        </w:tc>
        <w:tc>
          <w:tcPr/>
          <w:p>
            <w:pPr>
              <w:pStyle w:val="Compact"/>
            </w:pPr>
            <w:r>
              <w:t xml:space="preserve">Anforderung</w:t>
            </w:r>
          </w:p>
        </w:tc>
        <w:tc>
          <w:tcPr/>
          <w:p>
            <w:pPr>
              <w:pStyle w:val="Compact"/>
            </w:pPr>
            <w:r>
              <w:t xml:space="preserve">SMART-Beschreibung (Kurz)</w:t>
            </w:r>
          </w:p>
        </w:tc>
        <w:tc>
          <w:tcPr/>
          <w:p>
            <w:pPr>
              <w:pStyle w:val="Compact"/>
            </w:pPr>
            <w:r>
              <w:t xml:space="preserve">Version</w:t>
            </w:r>
          </w:p>
        </w:tc>
      </w:tr>
      <w:tr>
        <w:tc>
          <w:tcPr/>
          <w:p>
            <w:pPr>
              <w:pStyle w:val="Compact"/>
            </w:pPr>
            <w:r>
              <w:t xml:space="preserve">FA-01</w:t>
            </w:r>
          </w:p>
        </w:tc>
        <w:tc>
          <w:tcPr/>
          <w:p>
            <w:pPr>
              <w:pStyle w:val="Compact"/>
            </w:pPr>
            <w:r>
              <w:rPr>
                <w:b/>
                <w:bCs/>
              </w:rPr>
              <w:t xml:space="preserve">User-Registrierung</w:t>
            </w:r>
          </w:p>
        </w:tc>
        <w:tc>
          <w:tcPr/>
          <w:p>
            <w:pPr>
              <w:pStyle w:val="Compact"/>
            </w:pPr>
            <w:r>
              <w:t xml:space="preserve">Keycloak-Self-Service mit E-Mail (RFC 5322), Benutzername (3–50) und Passwort (≥ 8, ≥ 1 Grossbuchstabe + 1 Ziffer). Danach automatisch authentifiziert und auf die Startseite weitergeleitet. Doppelte E-Mail/Username → Fehlermeldung (intern 409).</w:t>
            </w:r>
          </w:p>
        </w:tc>
        <w:tc>
          <w:tcPr/>
          <w:p>
            <w:pPr>
              <w:pStyle w:val="Compact"/>
            </w:pPr>
            <w:r>
              <w:t xml:space="preserve">V1</w:t>
            </w:r>
          </w:p>
        </w:tc>
      </w:tr>
      <w:tr>
        <w:tc>
          <w:tcPr/>
          <w:p>
            <w:pPr>
              <w:pStyle w:val="Compact"/>
            </w:pPr>
            <w:r>
              <w:t xml:space="preserve">FA-02</w:t>
            </w:r>
          </w:p>
        </w:tc>
        <w:tc>
          <w:tcPr/>
          <w:p>
            <w:pPr>
              <w:pStyle w:val="Compact"/>
            </w:pPr>
            <w:r>
              <w:rPr>
                <w:b/>
                <w:bCs/>
              </w:rPr>
              <w:t xml:space="preserve">Authentifizierung</w:t>
            </w:r>
          </w:p>
        </w:tc>
        <w:tc>
          <w:tcPr/>
          <w:p>
            <w:pPr>
              <w:pStyle w:val="Compact"/>
            </w:pPr>
            <w:r>
              <w:t xml:space="preserve">OAuth2 Authorization Code mit PKCE über Keycloak. Access-Token (15 min), Refresh-Token (30 Tage). Mit gültigem Token alle geschützten Endpunkte → 200; ohne → 401 (ausser dem öffentlichen Health-Check).</w:t>
            </w:r>
          </w:p>
        </w:tc>
        <w:tc>
          <w:tcPr/>
          <w:p>
            <w:pPr>
              <w:pStyle w:val="Compact"/>
            </w:pPr>
            <w:r>
              <w:t xml:space="preserve">V1</w:t>
            </w:r>
          </w:p>
        </w:tc>
      </w:tr>
      <w:tr>
        <w:tc>
          <w:tcPr/>
          <w:p>
            <w:pPr>
              <w:pStyle w:val="Compact"/>
            </w:pPr>
            <w:r>
              <w:t xml:space="preserve">FA-03</w:t>
            </w:r>
          </w:p>
        </w:tc>
        <w:tc>
          <w:tcPr/>
          <w:p>
            <w:pPr>
              <w:pStyle w:val="Compact"/>
            </w:pPr>
            <w:r>
              <w:rPr>
                <w:b/>
                <w:bCs/>
              </w:rPr>
              <w:t xml:space="preserve">Spieler erfassen</w:t>
            </w:r>
          </w:p>
        </w:tc>
        <w:tc>
          <w:tcPr/>
          <w:p>
            <w:pPr>
              <w:pStyle w:val="Compact"/>
            </w:pPr>
            <w:r>
              <w:t xml:space="preserve">Erfasst einen neuen Spieler. Pflichtfelder Vor-/Nachname (≤ 50), Geschlecht, Spielhand, Backhand-Typ. Optional: Ranking (&gt; 0), Nationalität (ISO 3166-1 α-2), Geburtsdatum (ISO 8601). Erfolg → 201 mit UUID; Formatfehler → 400 (Feld + Grund).</w:t>
            </w:r>
          </w:p>
        </w:tc>
        <w:tc>
          <w:tcPr/>
          <w:p>
            <w:pPr>
              <w:pStyle w:val="Compact"/>
            </w:pPr>
            <w:r>
              <w:t xml:space="preserve">V1</w:t>
            </w:r>
          </w:p>
        </w:tc>
      </w:tr>
      <w:tr>
        <w:tc>
          <w:tcPr/>
          <w:p>
            <w:pPr>
              <w:pStyle w:val="Compact"/>
            </w:pPr>
            <w:r>
              <w:t xml:space="preserve">FA-04</w:t>
            </w:r>
          </w:p>
        </w:tc>
        <w:tc>
          <w:tcPr/>
          <w:p>
            <w:pPr>
              <w:pStyle w:val="Compact"/>
            </w:pPr>
            <w:r>
              <w:rPr>
                <w:b/>
                <w:bCs/>
              </w:rPr>
              <w:t xml:space="preserve">Spieler suchen</w:t>
            </w:r>
          </w:p>
        </w:tc>
        <w:tc>
          <w:tcPr/>
          <w:p>
            <w:pPr>
              <w:pStyle w:val="Compact"/>
            </w:pPr>
            <w:r>
              <w:t xml:space="preserve">Sucht einen Spieler. Mindestens ein Suchparameter ist erforderlich (sonst 400). Paginierte Liste (max. 50/Seite, Nachname aufsteigend); keine Treffer → leere Liste (200).</w:t>
            </w:r>
          </w:p>
        </w:tc>
        <w:tc>
          <w:tcPr/>
          <w:p>
            <w:pPr>
              <w:pStyle w:val="Compact"/>
            </w:pPr>
            <w:r>
              <w:t xml:space="preserve">V1</w:t>
            </w:r>
          </w:p>
        </w:tc>
      </w:tr>
      <w:tr>
        <w:tc>
          <w:tcPr/>
          <w:p>
            <w:pPr>
              <w:pStyle w:val="Compact"/>
            </w:pPr>
            <w:r>
              <w:t xml:space="preserve">FA-05</w:t>
            </w:r>
          </w:p>
        </w:tc>
        <w:tc>
          <w:tcPr/>
          <w:p>
            <w:pPr>
              <w:pStyle w:val="Compact"/>
            </w:pPr>
            <w:r>
              <w:rPr>
                <w:b/>
                <w:bCs/>
              </w:rPr>
              <w:t xml:space="preserve">Match erstellen</w:t>
            </w:r>
          </w:p>
        </w:tc>
        <w:tc>
          <w:tcPr/>
          <w:p>
            <w:pPr>
              <w:pStyle w:val="Compact"/>
            </w:pPr>
            <w:r>
              <w:t xml:space="preserve">Erstellt einen neuen Match. Pflichtfelder</w:t>
            </w:r>
            <w:r>
              <w:t xml:space="preserve"> </w:t>
            </w:r>
            <w:r>
              <w:rPr>
                <w:rStyle w:val="VerbatimChar"/>
              </w:rPr>
              <w:t xml:space="preserve">player1Id</w:t>
            </w:r>
            <w:r>
              <w:t xml:space="preserve">/</w:t>
            </w:r>
            <w:r>
              <w:rPr>
                <w:rStyle w:val="VerbatimChar"/>
              </w:rPr>
              <w:t xml:space="preserve">player2Id</w:t>
            </w:r>
            <w:r>
              <w:t xml:space="preserve"> </w:t>
            </w:r>
            <w:r>
              <w:t xml:space="preserve">(müssen existieren, sonst 404),</w:t>
            </w:r>
            <w:r>
              <w:t xml:space="preserve"> </w:t>
            </w:r>
            <w:r>
              <w:rPr>
                <w:rStyle w:val="VerbatimChar"/>
              </w:rPr>
              <w:t xml:space="preserve">setsToWin</w:t>
            </w:r>
            <w:r>
              <w:t xml:space="preserve"> </w:t>
            </w:r>
            <w:r>
              <w:t xml:space="preserve">(2/3),</w:t>
            </w:r>
            <w:r>
              <w:t xml:space="preserve"> </w:t>
            </w:r>
            <w:r>
              <w:rPr>
                <w:rStyle w:val="VerbatimChar"/>
              </w:rPr>
              <w:t xml:space="preserve">matchTiebreak</w:t>
            </w:r>
            <w:r>
              <w:t xml:space="preserve">,</w:t>
            </w:r>
            <w:r>
              <w:t xml:space="preserve"> </w:t>
            </w:r>
            <w:r>
              <w:rPr>
                <w:rStyle w:val="VerbatimChar"/>
              </w:rPr>
              <w:t xml:space="preserve">shortSet</w:t>
            </w:r>
            <w:r>
              <w:t xml:space="preserve">. Erfolg → 201 mit UUID, Status</w:t>
            </w:r>
            <w:r>
              <w:t xml:space="preserve"> </w:t>
            </w:r>
            <w:r>
              <w:rPr>
                <w:rStyle w:val="VerbatimChar"/>
              </w:rPr>
              <w:t xml:space="preserve">IN_PROGRESS</w:t>
            </w:r>
            <w:r>
              <w:t xml:space="preserve">.</w:t>
            </w:r>
          </w:p>
        </w:tc>
        <w:tc>
          <w:tcPr/>
          <w:p>
            <w:pPr>
              <w:pStyle w:val="Compact"/>
            </w:pPr>
            <w:r>
              <w:t xml:space="preserve">V1</w:t>
            </w:r>
          </w:p>
        </w:tc>
      </w:tr>
      <w:tr>
        <w:tc>
          <w:tcPr/>
          <w:p>
            <w:pPr>
              <w:pStyle w:val="Compact"/>
            </w:pPr>
            <w:r>
              <w:t xml:space="preserve">FA-06</w:t>
            </w:r>
          </w:p>
        </w:tc>
        <w:tc>
          <w:tcPr/>
          <w:p>
            <w:pPr>
              <w:pStyle w:val="Compact"/>
            </w:pPr>
            <w:r>
              <w:rPr>
                <w:b/>
                <w:bCs/>
              </w:rPr>
              <w:t xml:space="preserve">Punkte erfassen</w:t>
            </w:r>
          </w:p>
        </w:tc>
        <w:tc>
          <w:tcPr/>
          <w:p>
            <w:pPr>
              <w:pStyle w:val="Compact"/>
            </w:pPr>
            <w:r>
              <w:t xml:space="preserve">Erfasst einen Punkt in einem laufenden Match (</w:t>
            </w:r>
            <w:r>
              <w:rPr>
                <w:rStyle w:val="VerbatimChar"/>
              </w:rPr>
              <w:t xml:space="preserve">IN_PROGRESS</w:t>
            </w:r>
            <w:r>
              <w:t xml:space="preserve">). Pflicht ist nur</w:t>
            </w:r>
            <w:r>
              <w:t xml:space="preserve"> </w:t>
            </w:r>
            <w:r>
              <w:rPr>
                <w:rStyle w:val="VerbatimChar"/>
              </w:rPr>
              <w:t xml:space="preserve">winner</w:t>
            </w:r>
            <w:r>
              <w:t xml:space="preserve"> </w:t>
            </w:r>
            <w:r>
              <w:t xml:space="preserve">(1/2). Optional: die typisierten Attribute</w:t>
            </w:r>
            <w:r>
              <w:t xml:space="preserve"> </w:t>
            </w:r>
            <w:r>
              <w:rPr>
                <w:rStyle w:val="VerbatimChar"/>
              </w:rPr>
              <w:t xml:space="preserve">pointType</w:t>
            </w:r>
            <w:r>
              <w:t xml:space="preserve">,</w:t>
            </w:r>
            <w:r>
              <w:t xml:space="preserve"> </w:t>
            </w:r>
            <w:r>
              <w:rPr>
                <w:rStyle w:val="VerbatimChar"/>
              </w:rPr>
              <w:t xml:space="preserve">strokeType</w:t>
            </w:r>
            <w:r>
              <w:t xml:space="preserve">,</w:t>
            </w:r>
            <w:r>
              <w:t xml:space="preserve"> </w:t>
            </w:r>
            <w:r>
              <w:rPr>
                <w:rStyle w:val="VerbatimChar"/>
              </w:rPr>
              <w:t xml:space="preserve">direction</w:t>
            </w:r>
            <w:r>
              <w:t xml:space="preserve"> </w:t>
            </w:r>
            <w:r>
              <w:t xml:space="preserve">(ohne Attribut = „Quick-Point“),</w:t>
            </w:r>
            <w:r>
              <w:t xml:space="preserve"> </w:t>
            </w:r>
            <w:r>
              <w:rPr>
                <w:rStyle w:val="VerbatimChar"/>
              </w:rPr>
              <w:t xml:space="preserve">remark</w:t>
            </w:r>
            <w:r>
              <w:t xml:space="preserve"> </w:t>
            </w:r>
            <w:r>
              <w:t xml:space="preserve">(≤ 500) und</w:t>
            </w:r>
            <w:r>
              <w:t xml:space="preserve"> </w:t>
            </w:r>
            <w:r>
              <w:rPr>
                <w:rStyle w:val="VerbatimChar"/>
              </w:rPr>
              <w:t xml:space="preserve">serveAttempt</w:t>
            </w:r>
            <w:r>
              <w:t xml:space="preserve"> </w:t>
            </w:r>
            <w:r>
              <w:t xml:space="preserve">(1/2). Erfolg → 201 mit aktualisiertem Spielstand; fehlendes</w:t>
            </w:r>
            <w:r>
              <w:t xml:space="preserve"> </w:t>
            </w:r>
            <w:r>
              <w:rPr>
                <w:rStyle w:val="VerbatimChar"/>
              </w:rPr>
              <w:t xml:space="preserve">winner</w:t>
            </w:r>
            <w:r>
              <w:t xml:space="preserve"> </w:t>
            </w:r>
            <w:r>
              <w:t xml:space="preserve">oder ungültige Enum-Werte → 400.</w:t>
            </w:r>
          </w:p>
        </w:tc>
        <w:tc>
          <w:tcPr/>
          <w:p>
            <w:pPr>
              <w:pStyle w:val="Compact"/>
            </w:pPr>
            <w:r>
              <w:t xml:space="preserve">V1</w:t>
            </w:r>
          </w:p>
        </w:tc>
      </w:tr>
      <w:tr>
        <w:tc>
          <w:tcPr/>
          <w:p>
            <w:pPr>
              <w:pStyle w:val="Compact"/>
            </w:pPr>
            <w:r>
              <w:t xml:space="preserve">FA-07</w:t>
            </w:r>
          </w:p>
        </w:tc>
        <w:tc>
          <w:tcPr/>
          <w:p>
            <w:pPr>
              <w:pStyle w:val="Compact"/>
            </w:pPr>
            <w:r>
              <w:rPr>
                <w:b/>
                <w:bCs/>
              </w:rPr>
              <w:t xml:space="preserve">Spielstand anzeigen</w:t>
            </w:r>
          </w:p>
        </w:tc>
        <w:tc>
          <w:tcPr/>
          <w:p>
            <w:pPr>
              <w:pStyle w:val="Compact"/>
            </w:pPr>
            <w:r>
              <w:t xml:space="preserve">Jede Punkt-Antwort enthält den vollständig berechneten Stand: Game-Punkte (0/15/30/40/Vorteil/Tiebreak), Games je Satz, Sätze. Einstand/Vorteile/Tiebreak gemäss</w:t>
            </w:r>
            <w:r>
              <w:t xml:space="preserve"> </w:t>
            </w:r>
            <w:r>
              <w:rPr>
                <w:b/>
                <w:bCs/>
              </w:rPr>
              <w:t xml:space="preserve">ITF-Regelwerk</w:t>
            </w:r>
            <w:r>
              <w:t xml:space="preserve">.</w:t>
            </w:r>
          </w:p>
        </w:tc>
        <w:tc>
          <w:tcPr/>
          <w:p>
            <w:pPr>
              <w:pStyle w:val="Compact"/>
            </w:pPr>
            <w:r>
              <w:t xml:space="preserve">V1</w:t>
            </w:r>
          </w:p>
        </w:tc>
      </w:tr>
      <w:tr>
        <w:tc>
          <w:tcPr/>
          <w:p>
            <w:pPr>
              <w:pStyle w:val="Compact"/>
            </w:pPr>
            <w:r>
              <w:t xml:space="preserve">FA-08</w:t>
            </w:r>
          </w:p>
        </w:tc>
        <w:tc>
          <w:tcPr/>
          <w:p>
            <w:pPr>
              <w:pStyle w:val="Compact"/>
            </w:pPr>
            <w:r>
              <w:rPr>
                <w:b/>
                <w:bCs/>
              </w:rPr>
              <w:t xml:space="preserve">Head-to-Head-Statistik</w:t>
            </w:r>
          </w:p>
        </w:tc>
        <w:tc>
          <w:tcPr/>
          <w:p>
            <w:pPr>
              <w:pStyle w:val="Compact"/>
            </w:pPr>
            <w:r>
              <w:t xml:space="preserve">Head-to-Head-Statistik zweier Spieler. Je Spieler: Aufschlag (First/Second Serve Won%, Aces, DF), Return (Return Points Won% 1./2., Break Points Won%, Return Games Won%), Rallye (Winners%, UE%), Match-Bilanz (Siege/Niederlagen, Satzbilanz). Bilanz nur aus abgeschlossenen Matches; unbekannte ID → 404.</w:t>
            </w:r>
          </w:p>
        </w:tc>
        <w:tc>
          <w:tcPr/>
          <w:p>
            <w:pPr>
              <w:pStyle w:val="Compact"/>
            </w:pPr>
            <w:r>
              <w:t xml:space="preserve">V1</w:t>
            </w:r>
          </w:p>
        </w:tc>
      </w:tr>
      <w:tr>
        <w:tc>
          <w:tcPr/>
          <w:p>
            <w:pPr>
              <w:pStyle w:val="Compact"/>
            </w:pPr>
            <w:r>
              <w:t xml:space="preserve">FA-09</w:t>
            </w:r>
          </w:p>
        </w:tc>
        <w:tc>
          <w:tcPr/>
          <w:p>
            <w:pPr>
              <w:pStyle w:val="Compact"/>
            </w:pPr>
            <w:r>
              <w:rPr>
                <w:b/>
                <w:bCs/>
              </w:rPr>
              <w:t xml:space="preserve">Google-Login</w:t>
            </w:r>
          </w:p>
        </w:tc>
        <w:tc>
          <w:tcPr/>
          <w:p>
            <w:pPr>
              <w:pStyle w:val="Compact"/>
            </w:pPr>
            <w:r>
              <w:t xml:space="preserve">Keycloak-Federation „Mit Google anmelden“; erster Login legt automatisch ein TSaS-Konto mit verifizierter Google-E-Mail an. Gleiche Rechte wie lokal registriert.</w:t>
            </w:r>
          </w:p>
        </w:tc>
        <w:tc>
          <w:tcPr/>
          <w:p>
            <w:pPr>
              <w:pStyle w:val="Compact"/>
            </w:pPr>
            <w:r>
              <w:t xml:space="preserve">V2</w:t>
            </w:r>
          </w:p>
        </w:tc>
      </w:tr>
      <w:tr>
        <w:tc>
          <w:tcPr/>
          <w:p>
            <w:pPr>
              <w:pStyle w:val="Compact"/>
            </w:pPr>
            <w:r>
              <w:t xml:space="preserve">FA-10</w:t>
            </w:r>
          </w:p>
        </w:tc>
        <w:tc>
          <w:tcPr/>
          <w:p>
            <w:pPr>
              <w:pStyle w:val="Compact"/>
            </w:pPr>
            <w:r>
              <w:rPr>
                <w:b/>
                <w:bCs/>
              </w:rPr>
              <w:t xml:space="preserve">Aufsprungpunkte erfassen</w:t>
            </w:r>
          </w:p>
        </w:tc>
        <w:tc>
          <w:tcPr/>
          <w:p>
            <w:pPr>
              <w:pStyle w:val="Compact"/>
            </w:pPr>
            <w:r>
              <w:t xml:space="preserve">Touch/Klick auf massstabsgetreue Feld-Darstellung (23,77 × 10,97 m); normalisierte X/Y als Optionalfeld im Punkt. Marker-Feedback ≤ 100 ms.</w:t>
            </w:r>
          </w:p>
        </w:tc>
        <w:tc>
          <w:tcPr/>
          <w:p>
            <w:pPr>
              <w:pStyle w:val="Compact"/>
            </w:pPr>
            <w:r>
              <w:t xml:space="preserve">V3</w:t>
            </w:r>
          </w:p>
        </w:tc>
      </w:tr>
      <w:tr>
        <w:tc>
          <w:tcPr/>
          <w:p>
            <w:pPr>
              <w:pStyle w:val="Compact"/>
            </w:pPr>
            <w:r>
              <w:t xml:space="preserve">FA-11</w:t>
            </w:r>
          </w:p>
        </w:tc>
        <w:tc>
          <w:tcPr/>
          <w:p>
            <w:pPr>
              <w:pStyle w:val="Compact"/>
            </w:pPr>
            <w:r>
              <w:rPr>
                <w:b/>
                <w:bCs/>
              </w:rPr>
              <w:t xml:space="preserve">KI-Match-Analyse (Postmortem)</w:t>
            </w:r>
          </w:p>
        </w:tc>
        <w:tc>
          <w:tcPr/>
          <w:p>
            <w:pPr>
              <w:pStyle w:val="Compact"/>
            </w:pPr>
            <w:r>
              <w:t xml:space="preserve">KI-Postmortem für ein abgeschlossenes Match (</w:t>
            </w:r>
            <w:r>
              <w:rPr>
                <w:rStyle w:val="VerbatimChar"/>
              </w:rPr>
              <w:t xml:space="preserve">COMPLETED</w:t>
            </w:r>
            <w:r>
              <w:t xml:space="preserve">, ≥ 10 Punkte). Prompt aus Statistiken + Spielermetadaten + Coach-Notizen (FA-22), LLM via Spring AI. Antwort: 5 Textfelder (Schlüsselmomente, eigene/gegnerische Stärken/Schwächen) + 3–5 priorisierte Empfehlungen; persistiert (1:1, überschreibbar). Codes: 200/404/409 (nicht</w:t>
            </w:r>
            <w:r>
              <w:t xml:space="preserve"> </w:t>
            </w:r>
            <w:r>
              <w:rPr>
                <w:rStyle w:val="VerbatimChar"/>
              </w:rPr>
              <w:t xml:space="preserve">COMPLETED</w:t>
            </w:r>
            <w:r>
              <w:t xml:space="preserve">)/422 (&lt; 10)/502 (LLM-Fehler →</w:t>
            </w:r>
            <w:r>
              <w:t xml:space="preserve"> </w:t>
            </w:r>
            <w:r>
              <w:rPr>
                <w:rStyle w:val="VerbatimChar"/>
              </w:rPr>
              <w:t xml:space="preserve">FAILED</w:t>
            </w:r>
            <w:r>
              <w:t xml:space="preserve"> </w:t>
            </w:r>
            <w:r>
              <w:t xml:space="preserve">persistiert). Erneutes Lesen liefert die gespeicherte Analyse ohne LLM-Aufruf. Sprache Deutsch.</w:t>
            </w:r>
            <w:r>
              <w:t xml:space="preserve"> </w:t>
            </w:r>
            <w:r>
              <w:rPr>
                <w:b/>
                <w:bCs/>
              </w:rPr>
              <w:t xml:space="preserve">HITL:</w:t>
            </w:r>
            <w:r>
              <w:t xml:space="preserve"> </w:t>
            </w:r>
            <w:r>
              <w:t xml:space="preserve">je Empfehlung Status</w:t>
            </w:r>
            <w:r>
              <w:t xml:space="preserve"> </w:t>
            </w:r>
            <w:r>
              <w:rPr>
                <w:rStyle w:val="VerbatimChar"/>
              </w:rPr>
              <w:t xml:space="preserve">OPEN/ACCEPTED/REJECTED</w:t>
            </w:r>
            <w:r>
              <w:t xml:space="preserve"> </w:t>
            </w:r>
            <w:r>
              <w:t xml:space="preserve">setzbar (+ Begründung ≤ 500); Codes 200/400/404/409. Neu-Generieren setzt den Review zurück.</w:t>
            </w:r>
          </w:p>
        </w:tc>
        <w:tc>
          <w:tcPr/>
          <w:p>
            <w:pPr>
              <w:pStyle w:val="Compact"/>
            </w:pPr>
            <w:r>
              <w:t xml:space="preserve">V1.x</w:t>
            </w:r>
          </w:p>
        </w:tc>
      </w:tr>
      <w:tr>
        <w:tc>
          <w:tcPr/>
          <w:p>
            <w:pPr>
              <w:pStyle w:val="Compact"/>
            </w:pPr>
            <w:r>
              <w:t xml:space="preserve">FA-12</w:t>
            </w:r>
          </w:p>
        </w:tc>
        <w:tc>
          <w:tcPr/>
          <w:p>
            <w:pPr>
              <w:pStyle w:val="Compact"/>
            </w:pPr>
            <w:r>
              <w:rPr>
                <w:b/>
                <w:bCs/>
              </w:rPr>
              <w:t xml:space="preserve">Spieler aktualisieren</w:t>
            </w:r>
          </w:p>
        </w:tc>
        <w:tc>
          <w:tcPr/>
          <w:p>
            <w:pPr>
              <w:pStyle w:val="Compact"/>
            </w:pPr>
            <w:r>
              <w:t xml:space="preserve">Aktualisiert einen Spieler (Felder wie FA-03). Erfolg → 200 mit Ressource (inkl.</w:t>
            </w:r>
            <w:r>
              <w:t xml:space="preserve"> </w:t>
            </w:r>
            <w:r>
              <w:rPr>
                <w:rStyle w:val="VerbatimChar"/>
              </w:rPr>
              <w:t xml:space="preserve">deletable</w:t>
            </w:r>
            <w:r>
              <w:t xml:space="preserve">, ggf.</w:t>
            </w:r>
            <w:r>
              <w:t xml:space="preserve"> </w:t>
            </w:r>
            <w:r>
              <w:rPr>
                <w:rStyle w:val="VerbatimChar"/>
              </w:rPr>
              <w:t xml:space="preserve">activeMatchId</w:t>
            </w:r>
            <w:r>
              <w:t xml:space="preserve">); unbekannt → 404, Formatfehler → 400.</w:t>
            </w:r>
          </w:p>
        </w:tc>
        <w:tc>
          <w:tcPr/>
          <w:p>
            <w:pPr>
              <w:pStyle w:val="Compact"/>
            </w:pPr>
            <w:r>
              <w:t xml:space="preserve">V1</w:t>
            </w:r>
          </w:p>
        </w:tc>
      </w:tr>
      <w:tr>
        <w:tc>
          <w:tcPr/>
          <w:p>
            <w:pPr>
              <w:pStyle w:val="Compact"/>
            </w:pPr>
            <w:r>
              <w:t xml:space="preserve">FA-13</w:t>
            </w:r>
          </w:p>
        </w:tc>
        <w:tc>
          <w:tcPr/>
          <w:p>
            <w:pPr>
              <w:pStyle w:val="Compact"/>
            </w:pPr>
            <w:r>
              <w:rPr>
                <w:b/>
                <w:bCs/>
              </w:rPr>
              <w:t xml:space="preserve">Spieler löschen / deaktivieren</w:t>
            </w:r>
          </w:p>
        </w:tc>
        <w:tc>
          <w:tcPr/>
          <w:p>
            <w:pPr>
              <w:pStyle w:val="Compact"/>
            </w:pPr>
            <w:r>
              <w:t xml:space="preserve">Löscht einen Spieler → 204; ist er an einem Match beteiligt → 409 (Historieschutz), stattdessen Deaktivieren (Soft-Delete</w:t>
            </w:r>
            <w:r>
              <w:t xml:space="preserve"> </w:t>
            </w:r>
            <w:r>
              <w:rPr>
                <w:rStyle w:val="VerbatimChar"/>
              </w:rPr>
              <w:t xml:space="preserve">active=false</w:t>
            </w:r>
            <w:r>
              <w:t xml:space="preserve"> </w:t>
            </w:r>
            <w:r>
              <w:t xml:space="preserve">→ 204). Unbekannt → 404.</w:t>
            </w:r>
          </w:p>
        </w:tc>
        <w:tc>
          <w:tcPr/>
          <w:p>
            <w:pPr>
              <w:pStyle w:val="Compact"/>
            </w:pPr>
            <w:r>
              <w:t xml:space="preserve">V1</w:t>
            </w:r>
          </w:p>
        </w:tc>
      </w:tr>
      <w:tr>
        <w:tc>
          <w:tcPr/>
          <w:p>
            <w:pPr>
              <w:pStyle w:val="Compact"/>
            </w:pPr>
            <w:r>
              <w:t xml:space="preserve">FA-14</w:t>
            </w:r>
          </w:p>
        </w:tc>
        <w:tc>
          <w:tcPr/>
          <w:p>
            <w:pPr>
              <w:pStyle w:val="Compact"/>
            </w:pPr>
            <w:r>
              <w:rPr>
                <w:b/>
                <w:bCs/>
              </w:rPr>
              <w:t xml:space="preserve">Match beenden / Walkover</w:t>
            </w:r>
          </w:p>
        </w:tc>
        <w:tc>
          <w:tcPr/>
          <w:p>
            <w:pPr>
              <w:pStyle w:val="Compact"/>
            </w:pPr>
            <w:r>
              <w:t xml:space="preserve">Beenden finalisiert den offenen Stand und leitet den Sieger aus den Sätzen ab (200). Walkover (Body</w:t>
            </w:r>
            <w:r>
              <w:t xml:space="preserve"> </w:t>
            </w:r>
            <w:r>
              <w:rPr>
                <w:rStyle w:val="VerbatimChar"/>
              </w:rPr>
              <w:t xml:space="preserve">winner</w:t>
            </w:r>
            <w:r>
              <w:t xml:space="preserve">) weist den Sieg unabhängig vom Stand zu. Walkover auf abgeschlossenem Match → 409, unbekannt → 404, ungültiger</w:t>
            </w:r>
            <w:r>
              <w:t xml:space="preserve"> </w:t>
            </w:r>
            <w:r>
              <w:rPr>
                <w:rStyle w:val="VerbatimChar"/>
              </w:rPr>
              <w:t xml:space="preserve">winner</w:t>
            </w:r>
            <w:r>
              <w:t xml:space="preserve"> </w:t>
            </w:r>
            <w:r>
              <w:t xml:space="preserve">→ 400.</w:t>
            </w:r>
          </w:p>
        </w:tc>
        <w:tc>
          <w:tcPr/>
          <w:p>
            <w:pPr>
              <w:pStyle w:val="Compact"/>
            </w:pPr>
            <w:r>
              <w:t xml:space="preserve">V1</w:t>
            </w:r>
          </w:p>
        </w:tc>
      </w:tr>
      <w:tr>
        <w:tc>
          <w:tcPr/>
          <w:p>
            <w:pPr>
              <w:pStyle w:val="Compact"/>
            </w:pPr>
            <w:r>
              <w:t xml:space="preserve">FA-15</w:t>
            </w:r>
          </w:p>
        </w:tc>
        <w:tc>
          <w:tcPr/>
          <w:p>
            <w:pPr>
              <w:pStyle w:val="Compact"/>
            </w:pPr>
            <w:r>
              <w:rPr>
                <w:b/>
                <w:bCs/>
              </w:rPr>
              <w:t xml:space="preserve">Spielstand manuell korrigieren</w:t>
            </w:r>
          </w:p>
        </w:tc>
        <w:tc>
          <w:tcPr/>
          <w:p>
            <w:pPr>
              <w:pStyle w:val="Compact"/>
            </w:pPr>
            <w:r>
              <w:t xml:space="preserve">Manuelle Spielstand-Korrektur. Pflicht: Punkte/Games/Sätze (≥ 0),</w:t>
            </w:r>
            <w:r>
              <w:t xml:space="preserve"> </w:t>
            </w:r>
            <w:r>
              <w:rPr>
                <w:rStyle w:val="VerbatimChar"/>
              </w:rPr>
              <w:t xml:space="preserve">currentSet</w:t>
            </w:r>
            <w:r>
              <w:t xml:space="preserve"> </w:t>
            </w:r>
            <w:r>
              <w:t xml:space="preserve">(≥ 1),</w:t>
            </w:r>
            <w:r>
              <w:t xml:space="preserve"> </w:t>
            </w:r>
            <w:r>
              <w:rPr>
                <w:rStyle w:val="VerbatimChar"/>
              </w:rPr>
              <w:t xml:space="preserve">isDeuce</w:t>
            </w:r>
            <w:r>
              <w:t xml:space="preserve">,</w:t>
            </w:r>
            <w:r>
              <w:t xml:space="preserve"> </w:t>
            </w:r>
            <w:r>
              <w:rPr>
                <w:rStyle w:val="VerbatimChar"/>
              </w:rPr>
              <w:t xml:space="preserve">isDone</w:t>
            </w:r>
            <w:r>
              <w:t xml:space="preserve">. Optional:</w:t>
            </w:r>
            <w:r>
              <w:t xml:space="preserve"> </w:t>
            </w:r>
            <w:r>
              <w:rPr>
                <w:rStyle w:val="VerbatimChar"/>
              </w:rPr>
              <w:t xml:space="preserve">isAdvantagePlayer1</w:t>
            </w:r>
            <w:r>
              <w:t xml:space="preserve">,</w:t>
            </w:r>
            <w:r>
              <w:t xml:space="preserve"> </w:t>
            </w:r>
            <w:r>
              <w:rPr>
                <w:rStyle w:val="VerbatimChar"/>
              </w:rPr>
              <w:t xml:space="preserve">winner</w:t>
            </w:r>
            <w:r>
              <w:t xml:space="preserve">. Status folgt</w:t>
            </w:r>
            <w:r>
              <w:t xml:space="preserve"> </w:t>
            </w:r>
            <w:r>
              <w:rPr>
                <w:rStyle w:val="VerbatimChar"/>
              </w:rPr>
              <w:t xml:space="preserve">isDone</w:t>
            </w:r>
            <w:r>
              <w:t xml:space="preserve"> </w:t>
            </w:r>
            <w:r>
              <w:t xml:space="preserve">(entschieden →</w:t>
            </w:r>
            <w:r>
              <w:t xml:space="preserve"> </w:t>
            </w:r>
            <w:r>
              <w:rPr>
                <w:rStyle w:val="VerbatimChar"/>
              </w:rPr>
              <w:t xml:space="preserve">COMPLETED</w:t>
            </w:r>
            <w:r>
              <w:t xml:space="preserve">, sonst zurück auf</w:t>
            </w:r>
            <w:r>
              <w:t xml:space="preserve"> </w:t>
            </w:r>
            <w:r>
              <w:rPr>
                <w:rStyle w:val="VerbatimChar"/>
              </w:rPr>
              <w:t xml:space="preserve">IN_PROGRESS</w:t>
            </w:r>
            <w:r>
              <w:t xml:space="preserve">). Unbekannt → 404, Wertebereich → 400.</w:t>
            </w:r>
          </w:p>
        </w:tc>
        <w:tc>
          <w:tcPr/>
          <w:p>
            <w:pPr>
              <w:pStyle w:val="Compact"/>
            </w:pPr>
            <w:r>
              <w:t xml:space="preserve">V1</w:t>
            </w:r>
          </w:p>
        </w:tc>
      </w:tr>
      <w:tr>
        <w:tc>
          <w:tcPr/>
          <w:p>
            <w:pPr>
              <w:pStyle w:val="Compact"/>
            </w:pPr>
            <w:r>
              <w:t xml:space="preserve">FA-16</w:t>
            </w:r>
          </w:p>
        </w:tc>
        <w:tc>
          <w:tcPr/>
          <w:p>
            <w:pPr>
              <w:pStyle w:val="Compact"/>
            </w:pPr>
            <w:r>
              <w:rPr>
                <w:b/>
                <w:bCs/>
              </w:rPr>
              <w:t xml:space="preserve">Aufschläger setzen</w:t>
            </w:r>
          </w:p>
        </w:tc>
        <w:tc>
          <w:tcPr/>
          <w:p>
            <w:pPr>
              <w:pStyle w:val="Compact"/>
            </w:pPr>
            <w:r>
              <w:t xml:space="preserve">Setzt den Aufschläger (Spieler 1 oder 2, kein Body).</w:t>
            </w:r>
            <w:r>
              <w:t xml:space="preserve"> </w:t>
            </w:r>
            <w:r>
              <w:rPr>
                <w:rStyle w:val="VerbatimChar"/>
              </w:rPr>
              <w:t xml:space="preserve">servingPlayer</w:t>
            </w:r>
            <w:r>
              <w:t xml:space="preserve"> </w:t>
            </w:r>
            <w:r>
              <w:t xml:space="preserve">ist Grundlage der Break-Point-Erkennung (FA-06). Auf abgeschlossenem Match → 409, unbekannt → 404.</w:t>
            </w:r>
          </w:p>
        </w:tc>
        <w:tc>
          <w:tcPr/>
          <w:p>
            <w:pPr>
              <w:pStyle w:val="Compact"/>
            </w:pPr>
            <w:r>
              <w:t xml:space="preserve">V1</w:t>
            </w:r>
          </w:p>
        </w:tc>
      </w:tr>
      <w:tr>
        <w:tc>
          <w:tcPr/>
          <w:p>
            <w:pPr>
              <w:pStyle w:val="Compact"/>
            </w:pPr>
            <w:r>
              <w:t xml:space="preserve">FA-17</w:t>
            </w:r>
          </w:p>
        </w:tc>
        <w:tc>
          <w:tcPr/>
          <w:p>
            <w:pPr>
              <w:pStyle w:val="Compact"/>
            </w:pPr>
            <w:r>
              <w:rPr>
                <w:b/>
                <w:bCs/>
              </w:rPr>
              <w:t xml:space="preserve">Match-Statistik (einzelnes Match)</w:t>
            </w:r>
          </w:p>
        </w:tc>
        <w:tc>
          <w:tcPr/>
          <w:p>
            <w:pPr>
              <w:pStyle w:val="Compact"/>
            </w:pPr>
            <w:r>
              <w:t xml:space="preserve">Statistik eines einzelnen Matches. Antwort:</w:t>
            </w:r>
            <w:r>
              <w:t xml:space="preserve"> </w:t>
            </w:r>
            <w:r>
              <w:rPr>
                <w:rStyle w:val="VerbatimChar"/>
              </w:rPr>
              <w:t xml:space="preserve">matchId</w:t>
            </w:r>
            <w:r>
              <w:t xml:space="preserve">,</w:t>
            </w:r>
            <w:r>
              <w:t xml:space="preserve"> </w:t>
            </w:r>
            <w:r>
              <w:rPr>
                <w:rStyle w:val="VerbatimChar"/>
              </w:rPr>
              <w:t xml:space="preserve">totalPoints</w:t>
            </w:r>
            <w:r>
              <w:t xml:space="preserve"> </w:t>
            </w:r>
            <w:r>
              <w:t xml:space="preserve">+ je Spieler gewonnene Punkte, Winners, Unforced/Forced Errors, Aces, DF, First/Second-Serve-%, gewonnene/gespielte Break Points, Vorhand-Anteil. Unbekannt → 404.</w:t>
            </w:r>
          </w:p>
        </w:tc>
        <w:tc>
          <w:tcPr/>
          <w:p>
            <w:pPr>
              <w:pStyle w:val="Compact"/>
            </w:pPr>
            <w:r>
              <w:t xml:space="preserve">V1</w:t>
            </w:r>
          </w:p>
        </w:tc>
      </w:tr>
      <w:tr>
        <w:tc>
          <w:tcPr/>
          <w:p>
            <w:pPr>
              <w:pStyle w:val="Compact"/>
            </w:pPr>
            <w:r>
              <w:t xml:space="preserve">FA-18</w:t>
            </w:r>
          </w:p>
        </w:tc>
        <w:tc>
          <w:tcPr/>
          <w:p>
            <w:pPr>
              <w:pStyle w:val="Compact"/>
            </w:pPr>
            <w:r>
              <w:rPr>
                <w:b/>
                <w:bCs/>
              </w:rPr>
              <w:t xml:space="preserve">DSGVO Art. 20 — Datenexport</w:t>
            </w:r>
          </w:p>
        </w:tc>
        <w:tc>
          <w:tcPr/>
          <w:p>
            <w:pPr>
              <w:pStyle w:val="Compact"/>
            </w:pPr>
            <w:r>
              <w:t xml:space="preserve">Liefert einen JSON-Snapshot der eigenen Daten (</w:t>
            </w:r>
            <w:r>
              <w:rPr>
                <w:rStyle w:val="VerbatimChar"/>
              </w:rPr>
              <w:t xml:space="preserve">players</w:t>
            </w:r>
            <w:r>
              <w:t xml:space="preserve">,</w:t>
            </w:r>
            <w:r>
              <w:t xml:space="preserve"> </w:t>
            </w:r>
            <w:r>
              <w:rPr>
                <w:rStyle w:val="VerbatimChar"/>
              </w:rPr>
              <w:t xml:space="preserve">matches</w:t>
            </w:r>
            <w:r>
              <w:t xml:space="preserve">,</w:t>
            </w:r>
            <w:r>
              <w:t xml:space="preserve"> </w:t>
            </w:r>
            <w:r>
              <w:rPr>
                <w:rStyle w:val="VerbatimChar"/>
              </w:rPr>
              <w:t xml:space="preserve">points</w:t>
            </w:r>
            <w:r>
              <w:t xml:space="preserve">,</w:t>
            </w:r>
            <w:r>
              <w:t xml:space="preserve"> </w:t>
            </w:r>
            <w:r>
              <w:rPr>
                <w:rStyle w:val="VerbatimChar"/>
              </w:rPr>
              <w:t xml:space="preserve">scores</w:t>
            </w:r>
            <w:r>
              <w:t xml:space="preserve">,</w:t>
            </w:r>
            <w:r>
              <w:t xml:space="preserve"> </w:t>
            </w:r>
            <w:r>
              <w:rPr>
                <w:rStyle w:val="VerbatimChar"/>
              </w:rPr>
              <w:t xml:space="preserve">analyses</w:t>
            </w:r>
            <w:r>
              <w:t xml:space="preserve">), gefiltert auf</w:t>
            </w:r>
            <w:r>
              <w:t xml:space="preserve"> </w:t>
            </w:r>
            <w:r>
              <w:rPr>
                <w:rStyle w:val="VerbatimChar"/>
              </w:rPr>
              <w:t xml:space="preserve">owner_id = sub</w:t>
            </w:r>
            <w:r>
              <w:t xml:space="preserve">. Frontend lädt</w:t>
            </w:r>
            <w:r>
              <w:t xml:space="preserve"> </w:t>
            </w:r>
            <w:r>
              <w:rPr>
                <w:rStyle w:val="VerbatimChar"/>
              </w:rPr>
              <w:t xml:space="preserve">tsas-export-YYYY-MM-DD.json</w:t>
            </w:r>
            <w:r>
              <w:t xml:space="preserve">.</w:t>
            </w:r>
          </w:p>
        </w:tc>
        <w:tc>
          <w:tcPr/>
          <w:p>
            <w:pPr>
              <w:pStyle w:val="Compact"/>
            </w:pPr>
            <w:r>
              <w:t xml:space="preserve">V1</w:t>
            </w:r>
          </w:p>
        </w:tc>
      </w:tr>
      <w:tr>
        <w:tc>
          <w:tcPr/>
          <w:p>
            <w:pPr>
              <w:pStyle w:val="Compact"/>
            </w:pPr>
            <w:r>
              <w:t xml:space="preserve">FA-19</w:t>
            </w:r>
          </w:p>
        </w:tc>
        <w:tc>
          <w:tcPr/>
          <w:p>
            <w:pPr>
              <w:pStyle w:val="Compact"/>
            </w:pPr>
            <w:r>
              <w:rPr>
                <w:b/>
                <w:bCs/>
              </w:rPr>
              <w:t xml:space="preserve">DSGVO Art. 17 — Löschung</w:t>
            </w:r>
          </w:p>
        </w:tc>
        <w:tc>
          <w:tcPr/>
          <w:p>
            <w:pPr>
              <w:pStyle w:val="Compact"/>
            </w:pPr>
            <w:r>
              <w:t xml:space="preserve">Löscht alle eigenen Aggregate in einer Transaktion (FK-Reihenfolge</w:t>
            </w:r>
            <w:r>
              <w:t xml:space="preserve"> </w:t>
            </w:r>
            <w:r>
              <w:rPr>
                <w:rStyle w:val="VerbatimChar"/>
              </w:rPr>
              <w:t xml:space="preserve">points → match_scores → match_analysis → matches → players</w:t>
            </w:r>
            <w:r>
              <w:t xml:space="preserve">). Antwort: Counts; idempotent. Keycloak-Konto bleibt.</w:t>
            </w:r>
          </w:p>
        </w:tc>
        <w:tc>
          <w:tcPr/>
          <w:p>
            <w:pPr>
              <w:pStyle w:val="Compact"/>
            </w:pPr>
            <w:r>
              <w:t xml:space="preserve">V1</w:t>
            </w:r>
          </w:p>
        </w:tc>
      </w:tr>
      <w:tr>
        <w:tc>
          <w:tcPr/>
          <w:p>
            <w:pPr>
              <w:pStyle w:val="Compact"/>
            </w:pPr>
            <w:r>
              <w:t xml:space="preserve">FA-20</w:t>
            </w:r>
          </w:p>
        </w:tc>
        <w:tc>
          <w:tcPr/>
          <w:p>
            <w:pPr>
              <w:pStyle w:val="Compact"/>
            </w:pPr>
            <w:r>
              <w:rPr>
                <w:b/>
                <w:bCs/>
              </w:rPr>
              <w:t xml:space="preserve">KI-Gegner-Vorbereitung (Head-to-Head)</w:t>
            </w:r>
          </w:p>
        </w:tc>
        <w:tc>
          <w:tcPr/>
          <w:p>
            <w:pPr>
              <w:pStyle w:val="Compact"/>
            </w:pPr>
            <w:r>
              <w:t xml:space="preserve">Head-to-Head-Vorbereitung gegen einen Gegner. Lädt beide Profile, aggregiert die Head-to-Head-Statistik (FA-08), LLM via Spring AI. Antwort: 4 Textfelder (</w:t>
            </w:r>
            <w:r>
              <w:rPr>
                <w:rStyle w:val="VerbatimChar"/>
              </w:rPr>
              <w:t xml:space="preserve">opponentProfile</w:t>
            </w:r>
            <w:r>
              <w:t xml:space="preserve">,</w:t>
            </w:r>
            <w:r>
              <w:t xml:space="preserve"> </w:t>
            </w:r>
            <w:r>
              <w:rPr>
                <w:rStyle w:val="VerbatimChar"/>
              </w:rPr>
              <w:t xml:space="preserve">tacticalObservations</w:t>
            </w:r>
            <w:r>
              <w:t xml:space="preserve">,</w:t>
            </w:r>
            <w:r>
              <w:t xml:space="preserve"> </w:t>
            </w:r>
            <w:r>
              <w:rPr>
                <w:rStyle w:val="VerbatimChar"/>
              </w:rPr>
              <w:t xml:space="preserve">serveStrategy</w:t>
            </w:r>
            <w:r>
              <w:t xml:space="preserve">,</w:t>
            </w:r>
            <w:r>
              <w:t xml:space="preserve"> </w:t>
            </w:r>
            <w:r>
              <w:rPr>
                <w:rStyle w:val="VerbatimChar"/>
              </w:rPr>
              <w:t xml:space="preserve">returnStrategy</w:t>
            </w:r>
            <w:r>
              <w:t xml:space="preserve">) + 3–5 Empfehlungen.</w:t>
            </w:r>
            <w:r>
              <w:t xml:space="preserve"> </w:t>
            </w:r>
            <w:r>
              <w:rPr>
                <w:b/>
                <w:bCs/>
              </w:rPr>
              <w:t xml:space="preserve">Nicht persistiert</w:t>
            </w:r>
            <w:r>
              <w:t xml:space="preserve"> </w:t>
            </w:r>
            <w:r>
              <w:t xml:space="preserve">(Stand ändert sich pro Match); gleicher Rate-Limiter wie FA-11. Codes: 200/400 (gleiche IDs)/404 (Spieler unbekannt/fremder Owner — IDOR-Schutz: 404 statt 403)/422 (kein gemeinsames Match)/429/502. Verankert auf der Head-to-Head-Seite; Sprache aus User-Preferences (FA-21).</w:t>
            </w:r>
          </w:p>
        </w:tc>
        <w:tc>
          <w:tcPr/>
          <w:p>
            <w:pPr>
              <w:pStyle w:val="Compact"/>
            </w:pPr>
            <w:r>
              <w:t xml:space="preserve">V2</w:t>
            </w:r>
          </w:p>
        </w:tc>
      </w:tr>
      <w:tr>
        <w:tc>
          <w:tcPr/>
          <w:p>
            <w:pPr>
              <w:pStyle w:val="Compact"/>
            </w:pPr>
            <w:r>
              <w:t xml:space="preserve">FA-21</w:t>
            </w:r>
          </w:p>
        </w:tc>
        <w:tc>
          <w:tcPr/>
          <w:p>
            <w:pPr>
              <w:pStyle w:val="Compact"/>
            </w:pPr>
            <w:r>
              <w:rPr>
                <w:b/>
                <w:bCs/>
              </w:rPr>
              <w:t xml:space="preserve">Mehrsprachigkeit (DE/EN/IT/FR)</w:t>
            </w:r>
          </w:p>
        </w:tc>
        <w:tc>
          <w:tcPr/>
          <w:p>
            <w:pPr>
              <w:pStyle w:val="Compact"/>
            </w:pPr>
            <w:r>
              <w:t xml:space="preserve">UI in vier Sprachen (DE Default), Picker in der Toolbar. ngx-translate (JSON-Locales</w:t>
            </w:r>
            <w:r>
              <w:t xml:space="preserve"> </w:t>
            </w:r>
            <w:r>
              <w:rPr>
                <w:rStyle w:val="VerbatimChar"/>
              </w:rPr>
              <w:t xml:space="preserve">public/i18n/</w:t>
            </w:r>
            <w:r>
              <w:t xml:space="preserve">), persistiert in</w:t>
            </w:r>
            <w:r>
              <w:t xml:space="preserve"> </w:t>
            </w:r>
            <w:r>
              <w:rPr>
                <w:rStyle w:val="VerbatimChar"/>
              </w:rPr>
              <w:t xml:space="preserve">user_preferences</w:t>
            </w:r>
            <w:r>
              <w:t xml:space="preserve"> </w:t>
            </w:r>
            <w:r>
              <w:t xml:space="preserve">(PK = Keycloak-</w:t>
            </w:r>
            <w:r>
              <w:rPr>
                <w:rStyle w:val="VerbatimChar"/>
              </w:rPr>
              <w:t xml:space="preserve">sub</w:t>
            </w:r>
            <w:r>
              <w:t xml:space="preserve">,</w:t>
            </w:r>
            <w:r>
              <w:t xml:space="preserve"> </w:t>
            </w:r>
            <w:r>
              <w:rPr>
                <w:rStyle w:val="VerbatimChar"/>
              </w:rPr>
              <w:t xml:space="preserve">CHECK</w:t>
            </w:r>
            <w:r>
              <w:t xml:space="preserve"> </w:t>
            </w:r>
            <w:r>
              <w:t xml:space="preserve">auf vier Codes).</w:t>
            </w:r>
            <w:r>
              <w:t xml:space="preserve"> </w:t>
            </w:r>
            <w:r>
              <w:rPr>
                <w:rStyle w:val="VerbatimChar"/>
              </w:rPr>
              <w:t xml:space="preserve">LanguageService</w:t>
            </w:r>
            <w:r>
              <w:t xml:space="preserve"> </w:t>
            </w:r>
            <w:r>
              <w:t xml:space="preserve">lädt die Präferenz beim Boot, schreibt sie zurück, Fallback</w:t>
            </w:r>
            <w:r>
              <w:t xml:space="preserve"> </w:t>
            </w:r>
            <w:r>
              <w:rPr>
                <w:rStyle w:val="VerbatimChar"/>
              </w:rPr>
              <w:t xml:space="preserve">localStorage</w:t>
            </w:r>
            <w:r>
              <w:t xml:space="preserve">. KI-Antworten (FA-11/FA-20) folgen der Sprache:</w:t>
            </w:r>
            <w:r>
              <w:t xml:space="preserve"> </w:t>
            </w:r>
            <w:r>
              <w:rPr>
                <w:rStyle w:val="VerbatimChar"/>
              </w:rPr>
              <w:t xml:space="preserve">PromptBuilder</w:t>
            </w:r>
            <w:r>
              <w:t xml:space="preserve"> </w:t>
            </w:r>
            <w:r>
              <w:t xml:space="preserve">hängt eine sprachspezifische Direktive an, gelesen über</w:t>
            </w:r>
            <w:r>
              <w:t xml:space="preserve"> </w:t>
            </w:r>
            <w:r>
              <w:rPr>
                <w:rStyle w:val="VerbatimChar"/>
              </w:rPr>
              <w:t xml:space="preserve">UserLanguagePort</w:t>
            </w:r>
            <w:r>
              <w:t xml:space="preserve">.</w:t>
            </w:r>
          </w:p>
        </w:tc>
        <w:tc>
          <w:tcPr/>
          <w:p>
            <w:pPr>
              <w:pStyle w:val="Compact"/>
            </w:pPr>
            <w:r>
              <w:t xml:space="preserve">V1.x</w:t>
            </w:r>
          </w:p>
        </w:tc>
      </w:tr>
      <w:tr>
        <w:tc>
          <w:tcPr/>
          <w:p>
            <w:pPr>
              <w:pStyle w:val="Compact"/>
            </w:pPr>
            <w:r>
              <w:t xml:space="preserve">FA-22</w:t>
            </w:r>
          </w:p>
        </w:tc>
        <w:tc>
          <w:tcPr/>
          <w:p>
            <w:pPr>
              <w:pStyle w:val="Compact"/>
            </w:pPr>
            <w:r>
              <w:rPr>
                <w:b/>
                <w:bCs/>
              </w:rPr>
              <w:t xml:space="preserve">Coach-Freitext-Notizen je Spieler</w:t>
            </w:r>
          </w:p>
        </w:tc>
        <w:tc>
          <w:tcPr/>
          <w:p>
            <w:pPr>
              <w:pStyle w:val="Compact"/>
            </w:pPr>
            <w:r>
              <w:t xml:space="preserve">Genau</w:t>
            </w:r>
            <w:r>
              <w:t xml:space="preserve"> </w:t>
            </w:r>
            <w:r>
              <w:rPr>
                <w:b/>
                <w:bCs/>
              </w:rPr>
              <w:t xml:space="preserve">eine</w:t>
            </w:r>
            <w:r>
              <w:t xml:space="preserve"> </w:t>
            </w:r>
            <w:r>
              <w:t xml:space="preserve">Notiz pro Spieler/Match, entkoppelt vom Spielstand. Lesen liefert 0–2 Notizen (owner-geprüft); Schreiben ist ein Upsert (leere Notiz löscht → 204).</w:t>
            </w:r>
            <w:r>
              <w:t xml:space="preserve"> </w:t>
            </w:r>
            <w:r>
              <w:rPr>
                <w:rStyle w:val="VerbatimChar"/>
              </w:rPr>
              <w:t xml:space="preserve">playerId</w:t>
            </w:r>
            <w:r>
              <w:t xml:space="preserve"> </w:t>
            </w:r>
            <w:r>
              <w:t xml:space="preserve">muss teilnehmen (sonst 400),</w:t>
            </w:r>
            <w:r>
              <w:t xml:space="preserve"> </w:t>
            </w:r>
            <w:r>
              <w:rPr>
                <w:rStyle w:val="VerbatimChar"/>
              </w:rPr>
              <w:t xml:space="preserve">note</w:t>
            </w:r>
            <w:r>
              <w:t xml:space="preserve"> </w:t>
            </w:r>
            <w:r>
              <w:t xml:space="preserve">≤ 2000 (sonst 400), fremdes Match → 404. Persistenz</w:t>
            </w:r>
            <w:r>
              <w:t xml:space="preserve"> </w:t>
            </w:r>
            <w:r>
              <w:rPr>
                <w:rStyle w:val="VerbatimChar"/>
              </w:rPr>
              <w:t xml:space="preserve">match_player_notes</w:t>
            </w:r>
            <w:r>
              <w:t xml:space="preserve">. Notizen fliessen als Kontext in FA-11 (Match-Notizen) und FA-20 (Gegner-Notizen aus abgeschlossenen Matches). Wiederverwendbares Panel auf Score- und Analyse-Seite.</w:t>
            </w:r>
          </w:p>
        </w:tc>
        <w:tc>
          <w:tcPr/>
          <w:p>
            <w:pPr>
              <w:pStyle w:val="Compact"/>
            </w:pPr>
            <w:r>
              <w:t xml:space="preserve">V1.x</w:t>
            </w:r>
          </w:p>
        </w:tc>
      </w:tr>
    </w:tbl>
    <w:bookmarkEnd w:id="81"/>
    <w:bookmarkStart w:id="82" w:name="nicht-funktionale-anforderungen-smart"/>
    <w:p>
      <w:pPr>
        <w:pStyle w:val="Heading3"/>
      </w:pPr>
      <w:r>
        <w:t xml:space="preserve">10.2 Nicht-funktionale Anforderungen (SMART)</w:t>
      </w:r>
    </w:p>
    <w:p>
      <w:pPr>
        <w:pStyle w:val="FirstParagraph"/>
      </w:pPr>
      <w:r>
        <w:t xml:space="preserve">Ergänzend zu den Qualitätszielen (QZ-01–QZ-06, §1.2):</w:t>
      </w:r>
    </w:p>
    <w:tbl>
      <w:tblPr>
        <w:tblStyle w:val="Table"/>
        <w:tblW w:type="pct" w:w="5000"/>
        <w:tblLayout w:type="fixed"/>
        <w:tblLook w:firstRow="1" w:lastRow="0" w:firstColumn="0" w:lastColumn="0" w:noHBand="0" w:noVBand="0" w:val="0020"/>
      </w:tblPr>
      <w:tblGrid>
        <w:gridCol w:w="772"/>
        <w:gridCol w:w="1738"/>
        <w:gridCol w:w="5408"/>
      </w:tblGrid>
      <w:tr>
        <w:trPr>
          <w:tblHeader w:val="on"/>
        </w:trPr>
        <w:tc>
          <w:tcPr/>
          <w:p>
            <w:pPr>
              <w:pStyle w:val="Compact"/>
            </w:pPr>
            <w:r>
              <w:t xml:space="preserve">ID</w:t>
            </w:r>
          </w:p>
        </w:tc>
        <w:tc>
          <w:tcPr/>
          <w:p>
            <w:pPr>
              <w:pStyle w:val="Compact"/>
            </w:pPr>
            <w:r>
              <w:t xml:space="preserve">Merkmal</w:t>
            </w:r>
          </w:p>
        </w:tc>
        <w:tc>
          <w:tcPr/>
          <w:p>
            <w:pPr>
              <w:pStyle w:val="Compact"/>
            </w:pPr>
            <w:r>
              <w:t xml:space="preserve">SMART-Beschreibung (Kurz)</w:t>
            </w:r>
          </w:p>
        </w:tc>
      </w:tr>
      <w:tr>
        <w:tc>
          <w:tcPr/>
          <w:p>
            <w:pPr>
              <w:pStyle w:val="Compact"/>
            </w:pPr>
            <w:r>
              <w:t xml:space="preserve">NFA-01</w:t>
            </w:r>
          </w:p>
        </w:tc>
        <w:tc>
          <w:tcPr/>
          <w:p>
            <w:pPr>
              <w:pStyle w:val="Compact"/>
            </w:pPr>
            <w:r>
              <w:rPr>
                <w:b/>
                <w:bCs/>
              </w:rPr>
              <w:t xml:space="preserve">Skalierbarkeit</w:t>
            </w:r>
          </w:p>
        </w:tc>
        <w:tc>
          <w:tcPr/>
          <w:p>
            <w:pPr>
              <w:pStyle w:val="Compact"/>
            </w:pPr>
            <w:r>
              <w:t xml:space="preserve">Bei 100 gleichzeitigen Nutzern (Lasttest k6/JMeter, 95. Perzentil): Write ≤ 250 ms, Read ≤ 500 ms; Durchsatz-Degradation gegenüber 10 Nutzern ≤ 20 %. Nachweis via dokumentiertem Lasttest.</w:t>
            </w:r>
          </w:p>
        </w:tc>
      </w:tr>
      <w:tr>
        <w:tc>
          <w:tcPr/>
          <w:p>
            <w:pPr>
              <w:pStyle w:val="Compact"/>
            </w:pPr>
            <w:r>
              <w:t xml:space="preserve">NFA-02</w:t>
            </w:r>
          </w:p>
        </w:tc>
        <w:tc>
          <w:tcPr/>
          <w:p>
            <w:pPr>
              <w:pStyle w:val="Compact"/>
            </w:pPr>
            <w:r>
              <w:rPr>
                <w:b/>
                <w:bCs/>
              </w:rPr>
              <w:t xml:space="preserve">Datensicherheit</w:t>
            </w:r>
          </w:p>
        </w:tc>
        <w:tc>
          <w:tcPr/>
          <w:p>
            <w:pPr>
              <w:pStyle w:val="Compact"/>
            </w:pPr>
            <w:r>
              <w:t xml:space="preserve">Passwörter nur als bcrypt-Hash (Cost ≥ 12) in Keycloak. Alle externen Verbindungen TLS ≥ 1.2 (TLS 1.0/1.1 deaktiviert, prüfbar via</w:t>
            </w:r>
            <w:r>
              <w:t xml:space="preserve"> </w:t>
            </w:r>
            <w:r>
              <w:rPr>
                <w:rStyle w:val="VerbatimChar"/>
              </w:rPr>
              <w:t xml:space="preserve">openssl s_client</w:t>
            </w:r>
            <w:r>
              <w:t xml:space="preserve">). Interne Container-Kommunikation (API ↔ DB) im isolierten Docker-Netz von der TLS-Pflicht ausgenommen.</w:t>
            </w:r>
          </w:p>
        </w:tc>
      </w:tr>
      <w:tr>
        <w:tc>
          <w:tcPr/>
          <w:p>
            <w:pPr>
              <w:pStyle w:val="Compact"/>
            </w:pPr>
            <w:r>
              <w:t xml:space="preserve">NFA-03</w:t>
            </w:r>
          </w:p>
        </w:tc>
        <w:tc>
          <w:tcPr/>
          <w:p>
            <w:pPr>
              <w:pStyle w:val="Compact"/>
            </w:pPr>
            <w:r>
              <w:rPr>
                <w:b/>
                <w:bCs/>
              </w:rPr>
              <w:t xml:space="preserve">Portabilität</w:t>
            </w:r>
          </w:p>
        </w:tc>
        <w:tc>
          <w:tcPr/>
          <w:p>
            <w:pPr>
              <w:pStyle w:val="Compact"/>
            </w:pPr>
            <w:r>
              <w:t xml:space="preserve">Lauffähig auf Docker Engine 24.0+ / Compose v2.0+ (Linux x86_64, macOS Apple Silicon, Windows WSL2).</w:t>
            </w:r>
            <w:r>
              <w:t xml:space="preserve"> </w:t>
            </w:r>
            <w:r>
              <w:rPr>
                <w:rStyle w:val="VerbatimChar"/>
              </w:rPr>
              <w:t xml:space="preserve">docker compose up</w:t>
            </w:r>
            <w:r>
              <w:t xml:space="preserve"> </w:t>
            </w:r>
            <w:r>
              <w:t xml:space="preserve">ohne manuelle Schritte, betriebsbereit ≤ 5 min (inkl. Image-Download); auf ≥ 2 Plattformen verifiziert.</w:t>
            </w:r>
          </w:p>
        </w:tc>
      </w:tr>
      <w:tr>
        <w:tc>
          <w:tcPr/>
          <w:p>
            <w:pPr>
              <w:pStyle w:val="Compact"/>
            </w:pPr>
            <w:r>
              <w:t xml:space="preserve">NFA-04</w:t>
            </w:r>
          </w:p>
        </w:tc>
        <w:tc>
          <w:tcPr/>
          <w:p>
            <w:pPr>
              <w:pStyle w:val="Compact"/>
            </w:pPr>
            <w:r>
              <w:rPr>
                <w:b/>
                <w:bCs/>
              </w:rPr>
              <w:t xml:space="preserve">Wiederherstellbarkeit</w:t>
            </w:r>
          </w:p>
        </w:tc>
        <w:tc>
          <w:tcPr/>
          <w:p>
            <w:pPr>
              <w:pStyle w:val="Compact"/>
            </w:pPr>
            <w:r>
              <w:t xml:space="preserve">Tägliches automatisches</w:t>
            </w:r>
            <w:r>
              <w:t xml:space="preserve"> </w:t>
            </w:r>
            <w:r>
              <w:rPr>
                <w:rStyle w:val="VerbatimChar"/>
              </w:rPr>
              <w:t xml:space="preserve">pg_dump</w:t>
            </w:r>
            <w:r>
              <w:t xml:space="preserve"> </w:t>
            </w:r>
            <w:r>
              <w:t xml:space="preserve">(komprimiert, ausserhalb des DB-Containers). RPO = 24 h, RTO = 30 min. Wiederherstellung dokumentiert und vor Produktivbetrieb ≥ 1× erfolgreich getestet.</w:t>
            </w:r>
          </w:p>
        </w:tc>
      </w:tr>
    </w:tbl>
    <w:bookmarkEnd w:id="82"/>
    <w:bookmarkStart w:id="83" w:name="abnahmekriterien-je-kernfunktion"/>
    <w:p>
      <w:pPr>
        <w:pStyle w:val="Heading3"/>
      </w:pPr>
      <w:r>
        <w:t xml:space="preserve">10.3 Abnahmekriterien je Kernfunktion</w:t>
      </w:r>
    </w:p>
    <w:p>
      <w:pPr>
        <w:pStyle w:val="FirstParagraph"/>
      </w:pPr>
      <w:r>
        <w:t xml:space="preserve">Je Kernfunktion ein abnahmefähiges</w:t>
      </w:r>
      <w:r>
        <w:t xml:space="preserve"> </w:t>
      </w:r>
      <w:r>
        <w:rPr>
          <w:i/>
          <w:iCs/>
        </w:rPr>
        <w:t xml:space="preserve">Gegeben/Wenn/Dann</w:t>
      </w:r>
      <w:r>
        <w:t xml:space="preserve">-Kriterium, verlinkt auf FA (§10.1) und QZ/NFA.</w:t>
      </w:r>
      <w:r>
        <w:t xml:space="preserve"> </w:t>
      </w:r>
      <w:r>
        <w:rPr>
          <w:b/>
          <w:bCs/>
        </w:rPr>
        <w:t xml:space="preserve">Erfüllt</w:t>
      </w:r>
      <w:r>
        <w:t xml:space="preserve">, wenn der zugehörige automatisierte Test grün ist (Modul-Tests plus</w:t>
      </w:r>
      <w:r>
        <w:t xml:space="preserve"> </w:t>
      </w:r>
      <w:r>
        <w:rPr>
          <w:rStyle w:val="VerbatimChar"/>
        </w:rPr>
        <w:t xml:space="preserve">IntegrationTests</w:t>
      </w:r>
      <w:r>
        <w:t xml:space="preserve"> </w:t>
      </w:r>
      <w:r>
        <w:t xml:space="preserve">gegen eine PostgreSQL Instanz, §8.5–8.7).</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Kernfunktion</w:t>
            </w:r>
          </w:p>
        </w:tc>
        <w:tc>
          <w:tcPr/>
          <w:p>
            <w:pPr>
              <w:pStyle w:val="Compact"/>
            </w:pPr>
            <w:r>
              <w:t xml:space="preserve">Abnahmekriterium (Kurz)</w:t>
            </w:r>
          </w:p>
        </w:tc>
        <w:tc>
          <w:tcPr/>
          <w:p>
            <w:pPr>
              <w:pStyle w:val="Compact"/>
            </w:pPr>
            <w:r>
              <w:t xml:space="preserve">FA</w:t>
            </w:r>
          </w:p>
        </w:tc>
        <w:tc>
          <w:tcPr/>
          <w:p>
            <w:pPr>
              <w:pStyle w:val="Compact"/>
            </w:pPr>
            <w:r>
              <w:t xml:space="preserve">QZ/NFA</w:t>
            </w:r>
          </w:p>
        </w:tc>
      </w:tr>
      <w:tr>
        <w:tc>
          <w:tcPr/>
          <w:p>
            <w:pPr>
              <w:pStyle w:val="Compact"/>
            </w:pPr>
            <w:r>
              <w:rPr>
                <w:b/>
                <w:bCs/>
              </w:rPr>
              <w:t xml:space="preserve">Auth &amp; Registrierung</w:t>
            </w:r>
          </w:p>
        </w:tc>
        <w:tc>
          <w:tcPr/>
          <w:p>
            <w:pPr>
              <w:pStyle w:val="Compact"/>
            </w:pPr>
            <w:r>
              <w:t xml:space="preserve">Geschützter Endpunkt ohne Token →</w:t>
            </w:r>
            <w:r>
              <w:t xml:space="preserve"> </w:t>
            </w:r>
            <w:r>
              <w:rPr>
                <w:b/>
                <w:bCs/>
              </w:rPr>
              <w:t xml:space="preserve">401</w:t>
            </w:r>
            <w:r>
              <w:t xml:space="preserve">, mit Token →</w:t>
            </w:r>
            <w:r>
              <w:t xml:space="preserve"> </w:t>
            </w:r>
            <w:r>
              <w:rPr>
                <w:b/>
                <w:bCs/>
              </w:rPr>
              <w:t xml:space="preserve">200</w:t>
            </w:r>
            <w:r>
              <w:t xml:space="preserve">; Self-Registrierung mit gültigen Feldern → Konto, doppelte E-Mail/Username →</w:t>
            </w:r>
            <w:r>
              <w:t xml:space="preserve"> </w:t>
            </w:r>
            <w:r>
              <w:rPr>
                <w:b/>
                <w:bCs/>
              </w:rPr>
              <w:t xml:space="preserve">409</w:t>
            </w:r>
            <w:r>
              <w:t xml:space="preserve">.</w:t>
            </w:r>
          </w:p>
        </w:tc>
        <w:tc>
          <w:tcPr/>
          <w:p>
            <w:pPr>
              <w:pStyle w:val="Compact"/>
            </w:pPr>
            <w:r>
              <w:t xml:space="preserve">FA-01, FA-02</w:t>
            </w:r>
          </w:p>
        </w:tc>
        <w:tc>
          <w:tcPr/>
          <w:p>
            <w:pPr>
              <w:pStyle w:val="Compact"/>
            </w:pPr>
            <w:r>
              <w:t xml:space="preserve">QZ-05</w:t>
            </w:r>
          </w:p>
        </w:tc>
      </w:tr>
      <w:tr>
        <w:tc>
          <w:tcPr/>
          <w:p>
            <w:pPr>
              <w:pStyle w:val="Compact"/>
            </w:pPr>
            <w:r>
              <w:rPr>
                <w:b/>
                <w:bCs/>
              </w:rPr>
              <w:t xml:space="preserve">Spieler (CRUD/Suche)</w:t>
            </w:r>
          </w:p>
        </w:tc>
        <w:tc>
          <w:tcPr/>
          <w:p>
            <w:pPr>
              <w:pStyle w:val="Compact"/>
            </w:pPr>
            <w:r>
              <w:rPr>
                <w:rStyle w:val="VerbatimChar"/>
              </w:rPr>
              <w:t xml:space="preserve">POST /api/players</w:t>
            </w:r>
            <w:r>
              <w:t xml:space="preserve"> </w:t>
            </w:r>
            <w:r>
              <w:t xml:space="preserve">mit Pflichtfeldern →</w:t>
            </w:r>
            <w:r>
              <w:t xml:space="preserve"> </w:t>
            </w:r>
            <w:r>
              <w:rPr>
                <w:b/>
                <w:bCs/>
              </w:rPr>
              <w:t xml:space="preserve">201</w:t>
            </w:r>
            <w:r>
              <w:t xml:space="preserve"> </w:t>
            </w:r>
            <w:r>
              <w:t xml:space="preserve">mit UUID; fehlend →</w:t>
            </w:r>
            <w:r>
              <w:t xml:space="preserve"> </w:t>
            </w:r>
            <w:r>
              <w:rPr>
                <w:b/>
                <w:bCs/>
              </w:rPr>
              <w:t xml:space="preserve">400</w:t>
            </w:r>
            <w:r>
              <w:t xml:space="preserve">; Suche ohne Parameter →</w:t>
            </w:r>
            <w:r>
              <w:t xml:space="preserve"> </w:t>
            </w:r>
            <w:r>
              <w:rPr>
                <w:b/>
                <w:bCs/>
              </w:rPr>
              <w:t xml:space="preserve">400</w:t>
            </w:r>
            <w:r>
              <w:t xml:space="preserve">; Löschen eines beteiligten Spielers →</w:t>
            </w:r>
            <w:r>
              <w:t xml:space="preserve"> </w:t>
            </w:r>
            <w:r>
              <w:rPr>
                <w:b/>
                <w:bCs/>
              </w:rPr>
              <w:t xml:space="preserve">409</w:t>
            </w:r>
            <w:r>
              <w:t xml:space="preserve"> </w:t>
            </w:r>
            <w:r>
              <w:t xml:space="preserve">(Soft-Delete via</w:t>
            </w:r>
            <w:r>
              <w:t xml:space="preserve"> </w:t>
            </w:r>
            <w:r>
              <w:rPr>
                <w:rStyle w:val="VerbatimChar"/>
              </w:rPr>
              <w:t xml:space="preserve">deactivate</w:t>
            </w:r>
            <w:r>
              <w:t xml:space="preserve">).</w:t>
            </w:r>
          </w:p>
        </w:tc>
        <w:tc>
          <w:tcPr/>
          <w:p>
            <w:pPr>
              <w:pStyle w:val="Compact"/>
            </w:pPr>
            <w:r>
              <w:t xml:space="preserve">FA-03, FA-04, FA-12, FA-13</w:t>
            </w:r>
          </w:p>
        </w:tc>
        <w:tc>
          <w:tcPr/>
          <w:p>
            <w:pPr>
              <w:pStyle w:val="Compact"/>
            </w:pPr>
            <w:r>
              <w:t xml:space="preserve">QZ-03, NFA-01</w:t>
            </w:r>
          </w:p>
        </w:tc>
      </w:tr>
      <w:tr>
        <w:tc>
          <w:tcPr/>
          <w:p>
            <w:pPr>
              <w:pStyle w:val="Compact"/>
            </w:pPr>
            <w:r>
              <w:rPr>
                <w:b/>
                <w:bCs/>
              </w:rPr>
              <w:t xml:space="preserve">Match anlegen &amp; verwalten</w:t>
            </w:r>
          </w:p>
        </w:tc>
        <w:tc>
          <w:tcPr/>
          <w:p>
            <w:pPr>
              <w:pStyle w:val="Compact"/>
            </w:pPr>
            <w:r>
              <w:rPr>
                <w:rStyle w:val="VerbatimChar"/>
              </w:rPr>
              <w:t xml:space="preserve">POST /api/matches</w:t>
            </w:r>
            <w:r>
              <w:t xml:space="preserve"> </w:t>
            </w:r>
            <w:r>
              <w:t xml:space="preserve">gültig →</w:t>
            </w:r>
            <w:r>
              <w:t xml:space="preserve"> </w:t>
            </w:r>
            <w:r>
              <w:rPr>
                <w:b/>
                <w:bCs/>
              </w:rPr>
              <w:t xml:space="preserve">201</w:t>
            </w:r>
            <w:r>
              <w:t xml:space="preserve"> </w:t>
            </w:r>
            <w:r>
              <w:t xml:space="preserve">(</w:t>
            </w:r>
            <w:r>
              <w:rPr>
                <w:rStyle w:val="VerbatimChar"/>
              </w:rPr>
              <w:t xml:space="preserve">IN_PROGRESS</w:t>
            </w:r>
            <w:r>
              <w:t xml:space="preserve">), unbekannte Spieler-ID →</w:t>
            </w:r>
            <w:r>
              <w:t xml:space="preserve"> </w:t>
            </w:r>
            <w:r>
              <w:rPr>
                <w:b/>
                <w:bCs/>
              </w:rPr>
              <w:t xml:space="preserve">404</w:t>
            </w:r>
            <w:r>
              <w:t xml:space="preserve">; End/Walkover/Korrektur/Aufschläger regelkonform →</w:t>
            </w:r>
            <w:r>
              <w:t xml:space="preserve"> </w:t>
            </w:r>
            <w:r>
              <w:rPr>
                <w:b/>
                <w:bCs/>
              </w:rPr>
              <w:t xml:space="preserve">200</w:t>
            </w:r>
            <w:r>
              <w:t xml:space="preserve">, ungültig/abgeschlossen →</w:t>
            </w:r>
            <w:r>
              <w:t xml:space="preserve"> </w:t>
            </w:r>
            <w:r>
              <w:rPr>
                <w:b/>
                <w:bCs/>
              </w:rPr>
              <w:t xml:space="preserve">409/400</w:t>
            </w:r>
            <w:r>
              <w:t xml:space="preserve">.</w:t>
            </w:r>
          </w:p>
        </w:tc>
        <w:tc>
          <w:tcPr/>
          <w:p>
            <w:pPr>
              <w:pStyle w:val="Compact"/>
            </w:pPr>
            <w:r>
              <w:t xml:space="preserve">FA-05, FA-14–16</w:t>
            </w:r>
          </w:p>
        </w:tc>
        <w:tc>
          <w:tcPr/>
          <w:p>
            <w:pPr>
              <w:pStyle w:val="Compact"/>
            </w:pPr>
            <w:r>
              <w:t xml:space="preserve">QZ-03</w:t>
            </w:r>
          </w:p>
        </w:tc>
      </w:tr>
      <w:tr>
        <w:tc>
          <w:tcPr/>
          <w:p>
            <w:pPr>
              <w:pStyle w:val="Compact"/>
            </w:pPr>
            <w:r>
              <w:rPr>
                <w:b/>
                <w:bCs/>
              </w:rPr>
              <w:t xml:space="preserve">Punkterfassung &amp; Scoring</w:t>
            </w:r>
          </w:p>
        </w:tc>
        <w:tc>
          <w:tcPr/>
          <w:p>
            <w:pPr>
              <w:pStyle w:val="Compact"/>
            </w:pPr>
            <w:r>
              <w:t xml:space="preserve">Punkt auf</w:t>
            </w:r>
            <w:r>
              <w:t xml:space="preserve"> </w:t>
            </w:r>
            <w:r>
              <w:rPr>
                <w:rStyle w:val="VerbatimChar"/>
              </w:rPr>
              <w:t xml:space="preserve">IN_PROGRESS</w:t>
            </w:r>
            <w:r>
              <w:t xml:space="preserve">-Match →</w:t>
            </w:r>
            <w:r>
              <w:t xml:space="preserve"> </w:t>
            </w:r>
            <w:r>
              <w:rPr>
                <w:b/>
                <w:bCs/>
              </w:rPr>
              <w:t xml:space="preserve">201</w:t>
            </w:r>
            <w:r>
              <w:t xml:space="preserve"> </w:t>
            </w:r>
            <w:r>
              <w:t xml:space="preserve">mit</w:t>
            </w:r>
            <w:r>
              <w:t xml:space="preserve"> </w:t>
            </w:r>
            <w:r>
              <w:rPr>
                <w:b/>
                <w:bCs/>
              </w:rPr>
              <w:t xml:space="preserve">ITF-korrektem</w:t>
            </w:r>
            <w:r>
              <w:t xml:space="preserve"> </w:t>
            </w:r>
            <w:r>
              <w:t xml:space="preserve">Stand (0/15/30/40/Vorteil, Games, Sätze, Tie-Break, Short Set); ungültiger Enum/fehlend →</w:t>
            </w:r>
            <w:r>
              <w:t xml:space="preserve"> </w:t>
            </w:r>
            <w:r>
              <w:rPr>
                <w:b/>
                <w:bCs/>
              </w:rPr>
              <w:t xml:space="preserve">400</w:t>
            </w:r>
            <w:r>
              <w:t xml:space="preserve">.</w:t>
            </w:r>
          </w:p>
        </w:tc>
        <w:tc>
          <w:tcPr/>
          <w:p>
            <w:pPr>
              <w:pStyle w:val="Compact"/>
            </w:pPr>
            <w:r>
              <w:t xml:space="preserve">FA-06, FA-07</w:t>
            </w:r>
          </w:p>
        </w:tc>
        <w:tc>
          <w:tcPr/>
          <w:p>
            <w:pPr>
              <w:pStyle w:val="Compact"/>
            </w:pPr>
            <w:r>
              <w:t xml:space="preserve">QZ-03</w:t>
            </w:r>
          </w:p>
        </w:tc>
      </w:tr>
      <w:tr>
        <w:tc>
          <w:tcPr/>
          <w:p>
            <w:pPr>
              <w:pStyle w:val="Compact"/>
            </w:pPr>
            <w:r>
              <w:rPr>
                <w:b/>
                <w:bCs/>
              </w:rPr>
              <w:t xml:space="preserve">Statistik (H2H &amp; Match)</w:t>
            </w:r>
          </w:p>
        </w:tc>
        <w:tc>
          <w:tcPr/>
          <w:p>
            <w:pPr>
              <w:pStyle w:val="Compact"/>
            </w:pPr>
            <w:r>
              <w:rPr>
                <w:rStyle w:val="VerbatimChar"/>
              </w:rPr>
              <w:t xml:space="preserve">GET …/head-to-head</w:t>
            </w:r>
            <w:r>
              <w:t xml:space="preserve"> </w:t>
            </w:r>
            <w:r>
              <w:t xml:space="preserve">bzw.</w:t>
            </w:r>
            <w:r>
              <w:t xml:space="preserve"> </w:t>
            </w:r>
            <w:r>
              <w:rPr>
                <w:rStyle w:val="VerbatimChar"/>
              </w:rPr>
              <w:t xml:space="preserve">…/statistics</w:t>
            </w:r>
            <w:r>
              <w:t xml:space="preserve"> </w:t>
            </w:r>
            <w:r>
              <w:t xml:space="preserve">→</w:t>
            </w:r>
            <w:r>
              <w:t xml:space="preserve"> </w:t>
            </w:r>
            <w:r>
              <w:rPr>
                <w:b/>
                <w:bCs/>
              </w:rPr>
              <w:t xml:space="preserve">200</w:t>
            </w:r>
            <w:r>
              <w:t xml:space="preserve"> </w:t>
            </w:r>
            <w:r>
              <w:t xml:space="preserve">mit den definierten Kennzahlen je Spieler; unbekannte ID →</w:t>
            </w:r>
            <w:r>
              <w:t xml:space="preserve"> </w:t>
            </w:r>
            <w:r>
              <w:rPr>
                <w:b/>
                <w:bCs/>
              </w:rPr>
              <w:t xml:space="preserve">404</w:t>
            </w:r>
            <w:r>
              <w:t xml:space="preserve">.</w:t>
            </w:r>
          </w:p>
        </w:tc>
        <w:tc>
          <w:tcPr/>
          <w:p>
            <w:pPr>
              <w:pStyle w:val="Compact"/>
            </w:pPr>
            <w:r>
              <w:t xml:space="preserve">FA-08, FA-17</w:t>
            </w:r>
          </w:p>
        </w:tc>
        <w:tc>
          <w:tcPr/>
          <w:p>
            <w:pPr>
              <w:pStyle w:val="Compact"/>
            </w:pPr>
            <w:r>
              <w:t xml:space="preserve">QZ-04</w:t>
            </w:r>
          </w:p>
        </w:tc>
      </w:tr>
      <w:tr>
        <w:tc>
          <w:tcPr/>
          <w:p>
            <w:pPr>
              <w:pStyle w:val="Compact"/>
            </w:pPr>
            <w:r>
              <w:rPr>
                <w:b/>
                <w:bCs/>
              </w:rPr>
              <w:t xml:space="preserve">KI-Analyse &amp; Vorbereitung</w:t>
            </w:r>
          </w:p>
        </w:tc>
        <w:tc>
          <w:tcPr/>
          <w:p>
            <w:pPr>
              <w:pStyle w:val="Compact"/>
            </w:pPr>
            <w:r>
              <w:rPr>
                <w:rStyle w:val="VerbatimChar"/>
              </w:rPr>
              <w:t xml:space="preserve">COMPLETED</w:t>
            </w:r>
            <w:r>
              <w:t xml:space="preserve"> </w:t>
            </w:r>
            <w:r>
              <w:t xml:space="preserve">+ ≥ 10 Punkte (bzw. ≥ 1 gemeinsames Match) →</w:t>
            </w:r>
            <w:r>
              <w:t xml:space="preserve"> </w:t>
            </w:r>
            <w:r>
              <w:rPr>
                <w:b/>
                <w:bCs/>
              </w:rPr>
              <w:t xml:space="preserve">200</w:t>
            </w:r>
            <w:r>
              <w:t xml:space="preserve"> </w:t>
            </w:r>
            <w:r>
              <w:t xml:space="preserve">mit Textfeldern + 3–5 Empfehlungen; Fehler korrekt:</w:t>
            </w:r>
            <w:r>
              <w:t xml:space="preserve"> </w:t>
            </w:r>
            <w:r>
              <w:rPr>
                <w:b/>
                <w:bCs/>
              </w:rPr>
              <w:t xml:space="preserve">409/422/429/502</w:t>
            </w:r>
            <w:r>
              <w:t xml:space="preserve"> </w:t>
            </w:r>
            <w:r>
              <w:t xml:space="preserve">(</w:t>
            </w:r>
            <w:r>
              <w:rPr>
                <w:rStyle w:val="VerbatimChar"/>
              </w:rPr>
              <w:t xml:space="preserve">FAILED</w:t>
            </w:r>
            <w:r>
              <w:t xml:space="preserve"> </w:t>
            </w:r>
            <w:r>
              <w:t xml:space="preserve">persistiert). HITL</w:t>
            </w:r>
            <w:r>
              <w:t xml:space="preserve"> </w:t>
            </w:r>
            <w:r>
              <w:rPr>
                <w:rStyle w:val="VerbatimChar"/>
              </w:rPr>
              <w:t xml:space="preserve">PATCH …/recommendations/{index}</w:t>
            </w:r>
            <w:r>
              <w:t xml:space="preserve"> </w:t>
            </w:r>
            <w:r>
              <w:t xml:space="preserve">→ 200/400/404/409.</w:t>
            </w:r>
          </w:p>
        </w:tc>
        <w:tc>
          <w:tcPr/>
          <w:p>
            <w:pPr>
              <w:pStyle w:val="Compact"/>
            </w:pPr>
            <w:r>
              <w:t xml:space="preserve">FA-11, FA-20</w:t>
            </w:r>
          </w:p>
        </w:tc>
        <w:tc>
          <w:tcPr/>
          <w:p>
            <w:pPr>
              <w:pStyle w:val="Compact"/>
            </w:pPr>
            <w:r>
              <w:t xml:space="preserve">QZ-06</w:t>
            </w:r>
          </w:p>
        </w:tc>
      </w:tr>
    </w:tbl>
    <w:p>
      <w:pPr>
        <w:pStyle w:val="BodyText"/>
      </w:pPr>
      <w:r>
        <w:t xml:space="preserve">Die</w:t>
      </w:r>
      <w:r>
        <w:t xml:space="preserve"> </w:t>
      </w:r>
      <w:r>
        <w:rPr>
          <w:b/>
          <w:bCs/>
        </w:rPr>
        <w:t xml:space="preserve">funktionalen</w:t>
      </w:r>
      <w:r>
        <w:t xml:space="preserve"> </w:t>
      </w:r>
      <w:r>
        <w:t xml:space="preserve">Kriterien sind durchgängig automatisiert abgedeckt (§8.7). Die</w:t>
      </w:r>
      <w:r>
        <w:t xml:space="preserve"> </w:t>
      </w:r>
      <w:r>
        <w:rPr>
          <w:b/>
          <w:bCs/>
        </w:rPr>
        <w:t xml:space="preserve">Antwortzeit</w:t>
      </w:r>
      <w:r>
        <w:t xml:space="preserve">-Kriterien (QZ-03/04/06, NFA-01) sind als Design-Ziele spezifiziert.</w:t>
      </w:r>
      <w:r>
        <w:t xml:space="preserve"> </w:t>
      </w:r>
      <w:r>
        <w:t xml:space="preserve">Ihr formaler Nachweis erfolgt über den NFA-01-Lasttest (noch durchzuführen, vgl. §12).</w:t>
      </w:r>
    </w:p>
    <w:p>
      <w:r>
        <w:pict>
          <v:rect style="width:0;height:1.5pt" o:hralign="center" o:hrstd="t" o:hr="t"/>
        </w:pict>
      </w:r>
    </w:p>
    <w:bookmarkEnd w:id="83"/>
    <w:bookmarkEnd w:id="84"/>
    <w:bookmarkStart w:id="90" w:name="datenmodell"/>
    <w:p>
      <w:pPr>
        <w:pStyle w:val="Heading2"/>
      </w:pPr>
      <w:r>
        <w:t xml:space="preserve">11. Datenmodell</w:t>
      </w:r>
    </w:p>
    <w:p>
      <w:pPr>
        <w:pStyle w:val="FirstParagraph"/>
      </w:pPr>
      <w:r>
        <w:t xml:space="preserve">Rein relational (PostgreSQL) —</w:t>
      </w:r>
      <w:r>
        <w:t xml:space="preserve"> </w:t>
      </w:r>
      <w:r>
        <w:rPr>
          <w:b/>
          <w:bCs/>
        </w:rPr>
        <w:t xml:space="preserve">keine Vektor-DB</w:t>
      </w:r>
      <w:r>
        <w:t xml:space="preserve">: der KI-Input ist strukturierte Numerik (Statistiken + Metadaten), passt in einen Prompt-Context und braucht keine Embedding-Schicht (Begründung ADR-10; für V2 neu bewertet).</w:t>
      </w:r>
    </w:p>
    <w:p>
      <w:pPr>
        <w:pStyle w:val="CaptionedFigure"/>
      </w:pPr>
      <w:r>
        <w:drawing>
          <wp:inline>
            <wp:extent cx="5334000" cy="4376115"/>
            <wp:effectExtent b="0" l="0" r="0" t="0"/>
            <wp:docPr descr="TSaS – Datenmodell" title="" id="86" name="Picture"/>
            <a:graphic>
              <a:graphicData uri="http://schemas.openxmlformats.org/drawingml/2006/picture">
                <pic:pic>
                  <pic:nvPicPr>
                    <pic:cNvPr descr="Datenmodell.png" id="87" name="Picture"/>
                    <pic:cNvPicPr>
                      <a:picLocks noChangeArrowheads="1" noChangeAspect="1"/>
                    </pic:cNvPicPr>
                  </pic:nvPicPr>
                  <pic:blipFill>
                    <a:blip r:embed="rId85"/>
                    <a:stretch>
                      <a:fillRect/>
                    </a:stretch>
                  </pic:blipFill>
                  <pic:spPr bwMode="auto">
                    <a:xfrm>
                      <a:off x="0" y="0"/>
                      <a:ext cx="5334000" cy="4376115"/>
                    </a:xfrm>
                    <a:prstGeom prst="rect">
                      <a:avLst/>
                    </a:prstGeom>
                    <a:noFill/>
                    <a:ln w="9525">
                      <a:noFill/>
                      <a:headEnd/>
                      <a:tailEnd/>
                    </a:ln>
                  </pic:spPr>
                </pic:pic>
              </a:graphicData>
            </a:graphic>
          </wp:inline>
        </w:drawing>
      </w:r>
    </w:p>
    <w:p>
      <w:pPr>
        <w:pStyle w:val="ImageCaption"/>
      </w:pPr>
      <w:r>
        <w:t xml:space="preserve">TSaS – Datenmodell</w:t>
      </w:r>
    </w:p>
    <w:p>
      <w:pPr>
        <w:pStyle w:val="BodyText"/>
      </w:pPr>
      <w:r>
        <w:rPr>
          <w:i/>
          <w:iCs/>
        </w:rPr>
        <w:t xml:space="preserve">Quelle:</w:t>
      </w:r>
      <w:r>
        <w:rPr>
          <w:i/>
          <w:iCs/>
        </w:rPr>
        <w:t xml:space="preserve"> </w:t>
      </w:r>
      <w:hyperlink r:id="rId88">
        <w:r>
          <w:rPr>
            <w:rStyle w:val="VerbatimChar"/>
            <w:i/>
            <w:iCs/>
          </w:rPr>
          <w:t xml:space="preserve">diagrams/TSaS_Datenmodell.drawio</w:t>
        </w:r>
      </w:hyperlink>
      <w:r>
        <w:rPr>
          <w:i/>
          <w:iCs/>
        </w:rPr>
        <w:t xml:space="preserve">. Authoritatives Schema: Flyway</w:t>
      </w:r>
      <w:r>
        <w:rPr>
          <w:i/>
          <w:iCs/>
        </w:rPr>
        <w:t xml:space="preserve"> </w:t>
      </w:r>
      <w:r>
        <w:rPr>
          <w:b/>
          <w:bCs/>
          <w:i/>
          <w:iCs/>
        </w:rPr>
        <w:t xml:space="preserve">V1–V10</w:t>
      </w:r>
      <w:r>
        <w:rPr>
          <w:i/>
          <w:iCs/>
        </w:rPr>
        <w:t xml:space="preserve">. Das Diagramm zeigt die Kernentitäten inkl.</w:t>
      </w:r>
      <w:r>
        <w:rPr>
          <w:i/>
          <w:iCs/>
        </w:rPr>
        <w:t xml:space="preserve"> </w:t>
      </w:r>
      <w:r>
        <w:rPr>
          <w:rStyle w:val="VerbatimChar"/>
          <w:i/>
          <w:iCs/>
        </w:rPr>
        <w:t xml:space="preserve">match_player_notes</w:t>
      </w:r>
      <w:r>
        <w:rPr>
          <w:i/>
          <w:iCs/>
        </w:rPr>
        <w:t xml:space="preserve"> </w:t>
      </w:r>
      <w:r>
        <w:rPr>
          <w:i/>
          <w:iCs/>
        </w:rPr>
        <w:t xml:space="preserve">(V10); querschnittliche Spalten (V6–V10) und</w:t>
      </w:r>
      <w:r>
        <w:rPr>
          <w:i/>
          <w:iCs/>
        </w:rPr>
        <w:t xml:space="preserve"> </w:t>
      </w:r>
      <w:r>
        <w:rPr>
          <w:rStyle w:val="VerbatimChar"/>
          <w:i/>
          <w:iCs/>
        </w:rPr>
        <w:t xml:space="preserve">user_preferences</w:t>
      </w:r>
      <w:r>
        <w:rPr>
          <w:i/>
          <w:iCs/>
        </w:rPr>
        <w:t xml:space="preserve"> </w:t>
      </w:r>
      <w:r>
        <w:rPr>
          <w:i/>
          <w:iCs/>
        </w:rPr>
        <w:t xml:space="preserve">sind unten beschrieben.</w:t>
      </w:r>
    </w:p>
    <w:bookmarkStart w:id="89" w:name="entitätenübersicht"/>
    <w:p>
      <w:pPr>
        <w:pStyle w:val="Heading3"/>
      </w:pPr>
      <w:r>
        <w:t xml:space="preserve">11.1 Entitätenübersicht</w:t>
      </w:r>
    </w:p>
    <w:tbl>
      <w:tblPr>
        <w:tblStyle w:val="Table"/>
        <w:tblW w:type="pct" w:w="5000"/>
        <w:tblLayout w:type="fixed"/>
        <w:tblLook w:firstRow="1" w:lastRow="0" w:firstColumn="0" w:lastColumn="0" w:noHBand="0" w:noVBand="0" w:val="0020"/>
      </w:tblPr>
      <w:tblGrid>
        <w:gridCol w:w="3240"/>
        <w:gridCol w:w="4680"/>
      </w:tblGrid>
      <w:tr>
        <w:trPr>
          <w:tblHeader w:val="on"/>
        </w:trPr>
        <w:tc>
          <w:tcPr/>
          <w:p>
            <w:pPr>
              <w:pStyle w:val="Compact"/>
            </w:pPr>
            <w:r>
              <w:t xml:space="preserve">Tabelle</w:t>
            </w:r>
          </w:p>
        </w:tc>
        <w:tc>
          <w:tcPr/>
          <w:p>
            <w:pPr>
              <w:pStyle w:val="Compact"/>
            </w:pPr>
            <w:r>
              <w:t xml:space="preserve">Beschreibung</w:t>
            </w:r>
          </w:p>
        </w:tc>
      </w:tr>
      <w:tr>
        <w:tc>
          <w:tcPr/>
          <w:p>
            <w:pPr>
              <w:pStyle w:val="Compact"/>
            </w:pPr>
            <w:r>
              <w:rPr>
                <w:rStyle w:val="VerbatimChar"/>
              </w:rPr>
              <w:t xml:space="preserve">players</w:t>
            </w:r>
          </w:p>
        </w:tc>
        <w:tc>
          <w:tcPr/>
          <w:p>
            <w:pPr>
              <w:pStyle w:val="Compact"/>
            </w:pPr>
            <w:r>
              <w:t xml:space="preserve">Spielerprofile (Name, Geschlecht, Spielhand, Backhand-Typ, Ranking, Nationalität, Geburtsdatum).</w:t>
            </w:r>
            <w:r>
              <w:t xml:space="preserve"> </w:t>
            </w:r>
            <w:r>
              <w:rPr>
                <w:rStyle w:val="VerbatimChar"/>
              </w:rPr>
              <w:t xml:space="preserve">active</w:t>
            </w:r>
            <w:r>
              <w:t xml:space="preserve">-Flag erlaubt Soft-Delete beteiligter Spieler (FA-13).</w:t>
            </w:r>
          </w:p>
        </w:tc>
      </w:tr>
      <w:tr>
        <w:tc>
          <w:tcPr/>
          <w:p>
            <w:pPr>
              <w:pStyle w:val="Compact"/>
            </w:pPr>
            <w:r>
              <w:rPr>
                <w:rStyle w:val="VerbatimChar"/>
              </w:rPr>
              <w:t xml:space="preserve">matches</w:t>
            </w:r>
          </w:p>
        </w:tc>
        <w:tc>
          <w:tcPr/>
          <w:p>
            <w:pPr>
              <w:pStyle w:val="Compact"/>
            </w:pPr>
            <w:r>
              <w:t xml:space="preserve">Begegnungen (</w:t>
            </w:r>
            <w:r>
              <w:rPr>
                <w:rStyle w:val="VerbatimChar"/>
              </w:rPr>
              <w:t xml:space="preserve">player1_id</w:t>
            </w:r>
            <w:r>
              <w:t xml:space="preserve">/</w:t>
            </w:r>
            <w:r>
              <w:rPr>
                <w:rStyle w:val="VerbatimChar"/>
              </w:rPr>
              <w:t xml:space="preserve">player2_id</w:t>
            </w:r>
            <w:r>
              <w:t xml:space="preserve"> </w:t>
            </w:r>
            <w:r>
              <w:t xml:space="preserve">→</w:t>
            </w:r>
            <w:r>
              <w:t xml:space="preserve"> </w:t>
            </w:r>
            <w:r>
              <w:rPr>
                <w:rStyle w:val="VerbatimChar"/>
              </w:rPr>
              <w:t xml:space="preserve">players</w:t>
            </w:r>
            <w:r>
              <w:t xml:space="preserve">) mit Format (</w:t>
            </w:r>
            <w:r>
              <w:rPr>
                <w:rStyle w:val="VerbatimChar"/>
              </w:rPr>
              <w:t xml:space="preserve">sets_to_win</w:t>
            </w:r>
            <w:r>
              <w:t xml:space="preserve">,</w:t>
            </w:r>
            <w:r>
              <w:t xml:space="preserve"> </w:t>
            </w:r>
            <w:r>
              <w:rPr>
                <w:rStyle w:val="VerbatimChar"/>
              </w:rPr>
              <w:t xml:space="preserve">match_tiebreak</w:t>
            </w:r>
            <w:r>
              <w:t xml:space="preserve">,</w:t>
            </w:r>
            <w:r>
              <w:t xml:space="preserve"> </w:t>
            </w:r>
            <w:r>
              <w:rPr>
                <w:rStyle w:val="VerbatimChar"/>
              </w:rPr>
              <w:t xml:space="preserve">short_set</w:t>
            </w:r>
            <w:r>
              <w:t xml:space="preserve">) und</w:t>
            </w:r>
            <w:r>
              <w:t xml:space="preserve"> </w:t>
            </w:r>
            <w:r>
              <w:rPr>
                <w:rStyle w:val="VerbatimChar"/>
              </w:rPr>
              <w:t xml:space="preserve">status</w:t>
            </w:r>
            <w:r>
              <w:t xml:space="preserve"> </w:t>
            </w:r>
            <w:r>
              <w:t xml:space="preserve">(</w:t>
            </w:r>
            <w:r>
              <w:rPr>
                <w:rStyle w:val="VerbatimChar"/>
              </w:rPr>
              <w:t xml:space="preserve">IN_PROGRESS</w:t>
            </w:r>
            <w:r>
              <w:t xml:space="preserve">/</w:t>
            </w:r>
            <w:r>
              <w:rPr>
                <w:rStyle w:val="VerbatimChar"/>
              </w:rPr>
              <w:t xml:space="preserve">COMPLETED</w:t>
            </w:r>
            <w:r>
              <w:t xml:space="preserve">).</w:t>
            </w:r>
          </w:p>
        </w:tc>
      </w:tr>
      <w:tr>
        <w:tc>
          <w:tcPr/>
          <w:p>
            <w:pPr>
              <w:pStyle w:val="Compact"/>
            </w:pPr>
            <w:r>
              <w:rPr>
                <w:rStyle w:val="VerbatimChar"/>
              </w:rPr>
              <w:t xml:space="preserve">match_scores</w:t>
            </w:r>
          </w:p>
        </w:tc>
        <w:tc>
          <w:tcPr/>
          <w:p>
            <w:pPr>
              <w:pStyle w:val="Compact"/>
            </w:pPr>
            <w:r>
              <w:t xml:space="preserve">Aktueller Stand (1:1 zu</w:t>
            </w:r>
            <w:r>
              <w:t xml:space="preserve"> </w:t>
            </w:r>
            <w:r>
              <w:rPr>
                <w:rStyle w:val="VerbatimChar"/>
              </w:rPr>
              <w:t xml:space="preserve">matches</w:t>
            </w:r>
            <w:r>
              <w:t xml:space="preserve">, UNIQUE</w:t>
            </w:r>
            <w:r>
              <w:t xml:space="preserve"> </w:t>
            </w:r>
            <w:r>
              <w:rPr>
                <w:rStyle w:val="VerbatimChar"/>
              </w:rPr>
              <w:t xml:space="preserve">match_id</w:t>
            </w:r>
            <w:r>
              <w:t xml:space="preserve">): Punkte/Games/Sätze, Einstand-/Vorteil-Flags,</w:t>
            </w:r>
            <w:r>
              <w:t xml:space="preserve"> </w:t>
            </w:r>
            <w:r>
              <w:rPr>
                <w:rStyle w:val="VerbatimChar"/>
              </w:rPr>
              <w:t xml:space="preserve">current_set</w:t>
            </w:r>
            <w:r>
              <w:t xml:space="preserve">,</w:t>
            </w:r>
            <w:r>
              <w:t xml:space="preserve"> </w:t>
            </w:r>
            <w:r>
              <w:rPr>
                <w:rStyle w:val="VerbatimChar"/>
              </w:rPr>
              <w:t xml:space="preserve">serving_player</w:t>
            </w:r>
            <w:r>
              <w:t xml:space="preserve"> </w:t>
            </w:r>
            <w:r>
              <w:t xml:space="preserve">(FA-16), Ace-Zähler,</w:t>
            </w:r>
            <w:r>
              <w:t xml:space="preserve"> </w:t>
            </w:r>
            <w:r>
              <w:rPr>
                <w:rStyle w:val="VerbatimChar"/>
              </w:rPr>
              <w:t xml:space="preserve">is_done</w:t>
            </w:r>
            <w:r>
              <w:t xml:space="preserve"> </w:t>
            </w:r>
            <w:r>
              <w:t xml:space="preserve">+</w:t>
            </w:r>
            <w:r>
              <w:t xml:space="preserve"> </w:t>
            </w:r>
            <w:r>
              <w:rPr>
                <w:rStyle w:val="VerbatimChar"/>
              </w:rPr>
              <w:t xml:space="preserve">winner</w:t>
            </w:r>
            <w:r>
              <w:t xml:space="preserve">.</w:t>
            </w:r>
          </w:p>
        </w:tc>
      </w:tr>
      <w:tr>
        <w:tc>
          <w:tcPr/>
          <w:p>
            <w:pPr>
              <w:pStyle w:val="Compact"/>
            </w:pPr>
            <w:r>
              <w:rPr>
                <w:rStyle w:val="VerbatimChar"/>
              </w:rPr>
              <w:t xml:space="preserve">points</w:t>
            </w:r>
          </w:p>
        </w:tc>
        <w:tc>
          <w:tcPr/>
          <w:p>
            <w:pPr>
              <w:pStyle w:val="Compact"/>
            </w:pPr>
            <w:r>
              <w:t xml:space="preserve">Einzelpunkte (1:n zu</w:t>
            </w:r>
            <w:r>
              <w:t xml:space="preserve"> </w:t>
            </w:r>
            <w:r>
              <w:rPr>
                <w:rStyle w:val="VerbatimChar"/>
              </w:rPr>
              <w:t xml:space="preserve">matches</w:t>
            </w:r>
            <w:r>
              <w:t xml:space="preserve">): Satz-/Spiel-/Punktnummer, Gewinner, Punkt-/Schlag-/Richtungstyp, Aufschläger, Break-Point-Flag, Aufschlagversuch, Bemerkung, Zeitstempel.</w:t>
            </w:r>
          </w:p>
        </w:tc>
      </w:tr>
      <w:tr>
        <w:tc>
          <w:tcPr/>
          <w:p>
            <w:pPr>
              <w:pStyle w:val="Compact"/>
            </w:pPr>
            <w:r>
              <w:rPr>
                <w:rStyle w:val="VerbatimChar"/>
              </w:rPr>
              <w:t xml:space="preserve">match_analysis</w:t>
            </w:r>
          </w:p>
        </w:tc>
        <w:tc>
          <w:tcPr/>
          <w:p>
            <w:pPr>
              <w:pStyle w:val="Compact"/>
            </w:pPr>
            <w:r>
              <w:t xml:space="preserve">KI-Analyse (1:1, UNIQUE</w:t>
            </w:r>
            <w:r>
              <w:t xml:space="preserve"> </w:t>
            </w:r>
            <w:r>
              <w:rPr>
                <w:rStyle w:val="VerbatimChar"/>
              </w:rPr>
              <w:t xml:space="preserve">match_id</w:t>
            </w:r>
            <w:r>
              <w:t xml:space="preserve">,</w:t>
            </w:r>
            <w:r>
              <w:t xml:space="preserve"> </w:t>
            </w:r>
            <w:r>
              <w:rPr>
                <w:rStyle w:val="VerbatimChar"/>
              </w:rPr>
              <w:t xml:space="preserve">ON DELETE CASCADE</w:t>
            </w:r>
            <w:r>
              <w:t xml:space="preserve">): Status (PENDING/COMPLETED/FAILED), 5 Textfelder, JSON-Empfehlungsliste, verwendetes Modell, Generierungszeit, Fehlermeldung.</w:t>
            </w:r>
          </w:p>
        </w:tc>
      </w:tr>
      <w:tr>
        <w:tc>
          <w:tcPr/>
          <w:p>
            <w:pPr>
              <w:pStyle w:val="Compact"/>
            </w:pPr>
            <w:r>
              <w:rPr>
                <w:rStyle w:val="VerbatimChar"/>
              </w:rPr>
              <w:t xml:space="preserve">user_preferences</w:t>
            </w:r>
          </w:p>
        </w:tc>
        <w:tc>
          <w:tcPr/>
          <w:p>
            <w:pPr>
              <w:pStyle w:val="Compact"/>
            </w:pPr>
            <w:r>
              <w:t xml:space="preserve">Pro-Nutzer-Sprache (V9, FA-21). PK = Keycloak-</w:t>
            </w:r>
            <w:r>
              <w:rPr>
                <w:rStyle w:val="VerbatimChar"/>
              </w:rPr>
              <w:t xml:space="preserve">sub</w:t>
            </w:r>
            <w:r>
              <w:t xml:space="preserve"> </w:t>
            </w:r>
            <w:r>
              <w:t xml:space="preserve">(</w:t>
            </w:r>
            <w:r>
              <w:rPr>
                <w:rStyle w:val="VerbatimChar"/>
              </w:rPr>
              <w:t xml:space="preserve">user_id</w:t>
            </w:r>
            <w:r>
              <w:t xml:space="preserve">);</w:t>
            </w:r>
            <w:r>
              <w:t xml:space="preserve"> </w:t>
            </w:r>
            <w:r>
              <w:rPr>
                <w:rStyle w:val="VerbatimChar"/>
              </w:rPr>
              <w:t xml:space="preserve">language</w:t>
            </w:r>
            <w:r>
              <w:t xml:space="preserve"> </w:t>
            </w:r>
            <w:r>
              <w:t xml:space="preserve">(</w:t>
            </w:r>
            <w:r>
              <w:rPr>
                <w:rStyle w:val="VerbatimChar"/>
              </w:rPr>
              <w:t xml:space="preserve">VARCHAR(2)</w:t>
            </w:r>
            <w:r>
              <w:t xml:space="preserve">, Default</w:t>
            </w:r>
            <w:r>
              <w:t xml:space="preserve"> </w:t>
            </w:r>
            <w:r>
              <w:rPr>
                <w:rStyle w:val="VerbatimChar"/>
              </w:rPr>
              <w:t xml:space="preserve">de</w:t>
            </w:r>
            <w:r>
              <w:t xml:space="preserve">,</w:t>
            </w:r>
            <w:r>
              <w:t xml:space="preserve"> </w:t>
            </w:r>
            <w:r>
              <w:rPr>
                <w:rStyle w:val="VerbatimChar"/>
              </w:rPr>
              <w:t xml:space="preserve">CHECK</w:t>
            </w:r>
            <w:r>
              <w:t xml:space="preserve"> </w:t>
            </w:r>
            <w:r>
              <w:t xml:space="preserve">auf</w:t>
            </w:r>
            <w:r>
              <w:t xml:space="preserve"> </w:t>
            </w:r>
            <w:r>
              <w:rPr>
                <w:rStyle w:val="VerbatimChar"/>
              </w:rPr>
              <w:t xml:space="preserve">de/en/it/fr</w:t>
            </w:r>
            <w:r>
              <w:t xml:space="preserve">),</w:t>
            </w:r>
            <w:r>
              <w:t xml:space="preserve"> </w:t>
            </w:r>
            <w:r>
              <w:rPr>
                <w:rStyle w:val="VerbatimChar"/>
              </w:rPr>
              <w:t xml:space="preserve">updated_at</w:t>
            </w:r>
            <w:r>
              <w:t xml:space="preserve">. Keine FK — Verknüpfung über JWT-Identität.</w:t>
            </w:r>
          </w:p>
        </w:tc>
      </w:tr>
      <w:tr>
        <w:tc>
          <w:tcPr/>
          <w:p>
            <w:pPr>
              <w:pStyle w:val="Compact"/>
            </w:pPr>
            <w:r>
              <w:rPr>
                <w:rStyle w:val="VerbatimChar"/>
              </w:rPr>
              <w:t xml:space="preserve">match_player_notes</w:t>
            </w:r>
          </w:p>
        </w:tc>
        <w:tc>
          <w:tcPr/>
          <w:p>
            <w:pPr>
              <w:pStyle w:val="Compact"/>
            </w:pPr>
            <w:r>
              <w:t xml:space="preserve">Coach-Notizen je Spieler/Match (V10, FA-22): eine Notiz pro</w:t>
            </w:r>
            <w:r>
              <w:t xml:space="preserve"> </w:t>
            </w:r>
            <w:r>
              <w:rPr>
                <w:rStyle w:val="VerbatimChar"/>
              </w:rPr>
              <w:t xml:space="preserve">UNIQUE(match_id, player_id)</w:t>
            </w:r>
            <w:r>
              <w:t xml:space="preserve">.</w:t>
            </w:r>
            <w:r>
              <w:t xml:space="preserve"> </w:t>
            </w:r>
            <w:r>
              <w:rPr>
                <w:rStyle w:val="VerbatimChar"/>
              </w:rPr>
              <w:t xml:space="preserve">note</w:t>
            </w:r>
            <w:r>
              <w:t xml:space="preserve"> </w:t>
            </w:r>
            <w:r>
              <w:t xml:space="preserve">(</w:t>
            </w:r>
            <w:r>
              <w:rPr>
                <w:rStyle w:val="VerbatimChar"/>
              </w:rPr>
              <w:t xml:space="preserve">VARCHAR(2000)</w:t>
            </w:r>
            <w:r>
              <w:t xml:space="preserve">), FK</w:t>
            </w:r>
            <w:r>
              <w:t xml:space="preserve"> </w:t>
            </w:r>
            <w:r>
              <w:rPr>
                <w:rStyle w:val="VerbatimChar"/>
              </w:rPr>
              <w:t xml:space="preserve">match_id</w:t>
            </w:r>
            <w:r>
              <w:t xml:space="preserve"> </w:t>
            </w:r>
            <w:r>
              <w:t xml:space="preserve">→</w:t>
            </w:r>
            <w:r>
              <w:t xml:space="preserve"> </w:t>
            </w:r>
            <w:r>
              <w:rPr>
                <w:rStyle w:val="VerbatimChar"/>
              </w:rPr>
              <w:t xml:space="preserve">matches</w:t>
            </w:r>
            <w:r>
              <w:t xml:space="preserve"> </w:t>
            </w:r>
            <w:r>
              <w:t xml:space="preserve">(</w:t>
            </w:r>
            <w:r>
              <w:rPr>
                <w:rStyle w:val="VerbatimChar"/>
              </w:rPr>
              <w:t xml:space="preserve">ON DELETE CASCADE</w:t>
            </w:r>
            <w:r>
              <w:t xml:space="preserve">),</w:t>
            </w:r>
            <w:r>
              <w:t xml:space="preserve"> </w:t>
            </w:r>
            <w:r>
              <w:rPr>
                <w:rStyle w:val="VerbatimChar"/>
              </w:rPr>
              <w:t xml:space="preserve">player_id</w:t>
            </w:r>
            <w:r>
              <w:t xml:space="preserve"> </w:t>
            </w:r>
            <w:r>
              <w:t xml:space="preserve">→</w:t>
            </w:r>
            <w:r>
              <w:t xml:space="preserve"> </w:t>
            </w:r>
            <w:r>
              <w:rPr>
                <w:rStyle w:val="VerbatimChar"/>
              </w:rPr>
              <w:t xml:space="preserve">players</w:t>
            </w:r>
            <w:r>
              <w:t xml:space="preserve">, Index auf</w:t>
            </w:r>
            <w:r>
              <w:t xml:space="preserve"> </w:t>
            </w:r>
            <w:r>
              <w:rPr>
                <w:rStyle w:val="VerbatimChar"/>
              </w:rPr>
              <w:t xml:space="preserve">player_id</w:t>
            </w:r>
            <w:r>
              <w:t xml:space="preserve">, Audit-Spalten. Notizen fliessen als Kontext in FA-11/FA-20.</w:t>
            </w:r>
          </w:p>
        </w:tc>
      </w:tr>
    </w:tbl>
    <w:p>
      <w:pPr>
        <w:pStyle w:val="BodyText"/>
      </w:pPr>
      <w:r>
        <w:rPr>
          <w:b/>
          <w:bCs/>
        </w:rPr>
        <w:t xml:space="preserve">Querschnittliche Spalten</w:t>
      </w:r>
      <w:r>
        <w:t xml:space="preserve"> </w:t>
      </w:r>
      <w:r>
        <w:rPr>
          <w:rStyle w:val="VerbatimChar"/>
        </w:rPr>
        <w:t xml:space="preserve">owner_id</w:t>
      </w:r>
      <w:r>
        <w:t xml:space="preserve"> </w:t>
      </w:r>
      <w:r>
        <w:t xml:space="preserve">auf</w:t>
      </w:r>
      <w:r>
        <w:t xml:space="preserve"> </w:t>
      </w:r>
      <w:r>
        <w:rPr>
          <w:rStyle w:val="VerbatimChar"/>
        </w:rPr>
        <w:t xml:space="preserve">players</w:t>
      </w:r>
      <w:r>
        <w:t xml:space="preserve">/</w:t>
      </w:r>
      <w:r>
        <w:rPr>
          <w:rStyle w:val="VerbatimChar"/>
        </w:rPr>
        <w:t xml:space="preserve">matches</w:t>
      </w:r>
      <w:r>
        <w:t xml:space="preserve"> </w:t>
      </w:r>
      <w:r>
        <w:t xml:space="preserve">(V6, Owner-Bindung/RBAC, je mit Index);</w:t>
      </w:r>
      <w:r>
        <w:t xml:space="preserve"> </w:t>
      </w:r>
      <w:r>
        <w:t xml:space="preserve">Audit-Spalten</w:t>
      </w:r>
      <w:r>
        <w:t xml:space="preserve"> </w:t>
      </w:r>
      <w:r>
        <w:rPr>
          <w:rStyle w:val="VerbatimChar"/>
        </w:rPr>
        <w:t xml:space="preserve">created_at/created_by/updated_at/updated_by</w:t>
      </w:r>
      <w:r>
        <w:t xml:space="preserve"> </w:t>
      </w:r>
      <w:r>
        <w:t xml:space="preserve">auf</w:t>
      </w:r>
      <w:r>
        <w:t xml:space="preserve"> </w:t>
      </w:r>
      <w:r>
        <w:rPr>
          <w:rStyle w:val="VerbatimChar"/>
        </w:rPr>
        <w:t xml:space="preserve">players</w:t>
      </w:r>
      <w:r>
        <w:t xml:space="preserve">/</w:t>
      </w:r>
      <w:r>
        <w:rPr>
          <w:rStyle w:val="VerbatimChar"/>
        </w:rPr>
        <w:t xml:space="preserve">matches</w:t>
      </w:r>
      <w:r>
        <w:t xml:space="preserve">/</w:t>
      </w:r>
      <w:r>
        <w:rPr>
          <w:rStyle w:val="VerbatimChar"/>
        </w:rPr>
        <w:t xml:space="preserve">points</w:t>
      </w:r>
      <w:r>
        <w:t xml:space="preserve"> </w:t>
      </w:r>
      <w:r>
        <w:t xml:space="preserve">(V7, bewusst nullable für Auth-Context-freie Schreiber) und</w:t>
      </w:r>
      <w:r>
        <w:t xml:space="preserve"> </w:t>
      </w:r>
      <w:r>
        <w:t xml:space="preserve">auf</w:t>
      </w:r>
      <w:r>
        <w:t xml:space="preserve"> </w:t>
      </w:r>
      <w:r>
        <w:rPr>
          <w:rStyle w:val="VerbatimChar"/>
        </w:rPr>
        <w:t xml:space="preserve">match_player_notes</w:t>
      </w:r>
      <w:r>
        <w:t xml:space="preserve"> </w:t>
      </w:r>
      <w:r>
        <w:t xml:space="preserve">(V10); V8 zieht</w:t>
      </w:r>
      <w:r>
        <w:t xml:space="preserve"> </w:t>
      </w:r>
      <w:r>
        <w:rPr>
          <w:rStyle w:val="VerbatimChar"/>
        </w:rPr>
        <w:t xml:space="preserve">NOT NULL</w:t>
      </w:r>
      <w:r>
        <w:t xml:space="preserve"> </w:t>
      </w:r>
      <w:r>
        <w:t xml:space="preserve">der primitiven</w:t>
      </w:r>
      <w:r>
        <w:t xml:space="preserve"> </w:t>
      </w:r>
      <w:r>
        <w:rPr>
          <w:rStyle w:val="VerbatimChar"/>
        </w:rPr>
        <w:t xml:space="preserve">match_scores</w:t>
      </w:r>
      <w:r>
        <w:t xml:space="preserve">-Spalten nach.</w:t>
      </w:r>
      <w:r>
        <w:t xml:space="preserve"> </w:t>
      </w:r>
      <w:r>
        <w:t xml:space="preserve">Diese Spalten dienen Mandanten-Trennung und Nachvollziehbarkeit und sind im ER-Diagramm nicht einzeln dargestellt.</w:t>
      </w:r>
    </w:p>
    <w:p>
      <w:pPr>
        <w:pStyle w:val="BodyText"/>
      </w:pPr>
      <w:r>
        <w:t xml:space="preserve">Sätze und Statistiken werden</w:t>
      </w:r>
      <w:r>
        <w:t xml:space="preserve"> </w:t>
      </w:r>
      <w:r>
        <w:rPr>
          <w:b/>
          <w:bCs/>
        </w:rPr>
        <w:t xml:space="preserve">nicht eigenständig persistiert</w:t>
      </w:r>
      <w:r>
        <w:t xml:space="preserve">: der Satzstand ist Teil von</w:t>
      </w:r>
      <w:r>
        <w:t xml:space="preserve"> </w:t>
      </w:r>
      <w:r>
        <w:rPr>
          <w:rStyle w:val="VerbatimChar"/>
        </w:rPr>
        <w:t xml:space="preserve">match_scores</w:t>
      </w:r>
      <w:r>
        <w:t xml:space="preserve">, aggregierte Statistiken werden zur Laufzeit aus</w:t>
      </w:r>
      <w:r>
        <w:t xml:space="preserve"> </w:t>
      </w:r>
      <w:r>
        <w:rPr>
          <w:rStyle w:val="VerbatimChar"/>
        </w:rPr>
        <w:t xml:space="preserve">points</w:t>
      </w:r>
      <w:r>
        <w:t xml:space="preserve"> </w:t>
      </w:r>
      <w:r>
        <w:t xml:space="preserve">berechnet (keine</w:t>
      </w:r>
      <w:r>
        <w:t xml:space="preserve"> </w:t>
      </w:r>
      <w:r>
        <w:rPr>
          <w:rStyle w:val="VerbatimChar"/>
        </w:rPr>
        <w:t xml:space="preserve">match_set</w:t>
      </w:r>
      <w:r>
        <w:t xml:space="preserve">-/</w:t>
      </w:r>
      <w:r>
        <w:rPr>
          <w:rStyle w:val="VerbatimChar"/>
        </w:rPr>
        <w:t xml:space="preserve">match_stats</w:t>
      </w:r>
      <w:r>
        <w:t xml:space="preserve">-Tabelle).</w:t>
      </w:r>
    </w:p>
    <w:p>
      <w:r>
        <w:pict>
          <v:rect style="width:0;height:1.5pt" o:hralign="center" o:hrstd="t" o:hr="t"/>
        </w:pict>
      </w:r>
    </w:p>
    <w:bookmarkEnd w:id="89"/>
    <w:bookmarkEnd w:id="90"/>
    <w:bookmarkStart w:id="91" w:name="risiken-und-technische-schulden"/>
    <w:p>
      <w:pPr>
        <w:pStyle w:val="Heading2"/>
      </w:pPr>
      <w:r>
        <w:t xml:space="preserve">12. Risiken und technische Schulden</w:t>
      </w:r>
    </w:p>
    <w:tbl>
      <w:tblPr>
        <w:tblStyle w:val="Table"/>
        <w:tblW w:type="pct" w:w="5000"/>
        <w:tblLayout w:type="fixed"/>
        <w:tblLook w:firstRow="1" w:lastRow="0" w:firstColumn="0" w:lastColumn="0" w:noHBand="0" w:noVBand="0" w:val="0020"/>
      </w:tblPr>
      <w:tblGrid>
        <w:gridCol w:w="704"/>
        <w:gridCol w:w="1408"/>
        <w:gridCol w:w="1232"/>
        <w:gridCol w:w="4576"/>
      </w:tblGrid>
      <w:tr>
        <w:trPr>
          <w:tblHeader w:val="on"/>
        </w:trPr>
        <w:tc>
          <w:tcPr/>
          <w:p>
            <w:pPr>
              <w:pStyle w:val="Compact"/>
            </w:pPr>
            <w:r>
              <w:t xml:space="preserve">ID</w:t>
            </w:r>
          </w:p>
        </w:tc>
        <w:tc>
          <w:tcPr/>
          <w:p>
            <w:pPr>
              <w:pStyle w:val="Compact"/>
            </w:pPr>
            <w:r>
              <w:t xml:space="preserve">Risiko</w:t>
            </w:r>
          </w:p>
        </w:tc>
        <w:tc>
          <w:tcPr/>
          <w:p>
            <w:pPr>
              <w:pStyle w:val="Compact"/>
            </w:pPr>
            <w:r>
              <w:t xml:space="preserve">Thema</w:t>
            </w:r>
          </w:p>
        </w:tc>
        <w:tc>
          <w:tcPr/>
          <w:p>
            <w:pPr>
              <w:pStyle w:val="Compact"/>
            </w:pPr>
            <w:r>
              <w:t xml:space="preserve">Beschreibung / Mitigation</w:t>
            </w:r>
          </w:p>
        </w:tc>
      </w:tr>
      <w:tr>
        <w:tc>
          <w:tcPr/>
          <w:p>
            <w:pPr>
              <w:pStyle w:val="Compact"/>
            </w:pPr>
            <w:r>
              <w:t xml:space="preserve">R-01</w:t>
            </w:r>
          </w:p>
        </w:tc>
        <w:tc>
          <w:tcPr/>
          <w:p>
            <w:pPr>
              <w:pStyle w:val="Compact"/>
            </w:pPr>
            <w:r>
              <w:t xml:space="preserve">Niedrig</w:t>
            </w:r>
          </w:p>
        </w:tc>
        <w:tc>
          <w:tcPr/>
          <w:p>
            <w:pPr>
              <w:pStyle w:val="Compact"/>
            </w:pPr>
            <w:r>
              <w:rPr>
                <w:b/>
                <w:bCs/>
              </w:rPr>
              <w:t xml:space="preserve">Container-Skalierung</w:t>
            </w:r>
          </w:p>
        </w:tc>
        <w:tc>
          <w:tcPr/>
          <w:p>
            <w:pPr>
              <w:pStyle w:val="Compact"/>
            </w:pPr>
            <w:r>
              <w:t xml:space="preserve">Frontend/Backend bereits getrennt; Backend horizontal skalierbar, Nginx dann als Load Balancer.</w:t>
            </w:r>
          </w:p>
        </w:tc>
      </w:tr>
      <w:tr>
        <w:tc>
          <w:tcPr/>
          <w:p>
            <w:pPr>
              <w:pStyle w:val="Compact"/>
            </w:pPr>
            <w:r>
              <w:t xml:space="preserve">R-02</w:t>
            </w:r>
          </w:p>
        </w:tc>
        <w:tc>
          <w:tcPr/>
          <w:p>
            <w:pPr>
              <w:pStyle w:val="Compact"/>
            </w:pPr>
            <w:r>
              <w:t xml:space="preserve">Mittel</w:t>
            </w:r>
          </w:p>
        </w:tc>
        <w:tc>
          <w:tcPr/>
          <w:p>
            <w:pPr>
              <w:pStyle w:val="Compact"/>
            </w:pPr>
            <w:r>
              <w:rPr>
                <w:b/>
                <w:bCs/>
              </w:rPr>
              <w:t xml:space="preserve">Keycloak-Komplexität</w:t>
            </w:r>
          </w:p>
        </w:tc>
        <w:tc>
          <w:tcPr/>
          <w:p>
            <w:pPr>
              <w:pStyle w:val="Compact"/>
            </w:pPr>
            <w:r>
              <w:t xml:space="preserve">Hoher Konfigurationsaufwand; Fehlkonfiguration kann Sicherheitslücken öffnen.</w:t>
            </w:r>
          </w:p>
        </w:tc>
      </w:tr>
      <w:tr>
        <w:tc>
          <w:tcPr/>
          <w:p>
            <w:pPr>
              <w:pStyle w:val="Compact"/>
            </w:pPr>
            <w:r>
              <w:t xml:space="preserve">R-03</w:t>
            </w:r>
          </w:p>
        </w:tc>
        <w:tc>
          <w:tcPr/>
          <w:p>
            <w:pPr>
              <w:pStyle w:val="Compact"/>
            </w:pPr>
            <w:r>
              <w:t xml:space="preserve">Mittel</w:t>
            </w:r>
          </w:p>
        </w:tc>
        <w:tc>
          <w:tcPr/>
          <w:p>
            <w:pPr>
              <w:pStyle w:val="Compact"/>
            </w:pPr>
            <w:r>
              <w:rPr>
                <w:b/>
                <w:bCs/>
              </w:rPr>
              <w:t xml:space="preserve">Swisstennis-API</w:t>
            </w:r>
          </w:p>
        </w:tc>
        <w:tc>
          <w:tcPr/>
          <w:p>
            <w:pPr>
              <w:pStyle w:val="Compact"/>
            </w:pPr>
            <w:r>
              <w:t xml:space="preserve">V4-Integration hängt von Verfügbarkeit/Genehmigung ab. Fallback: manuelle Eingabe.</w:t>
            </w:r>
          </w:p>
        </w:tc>
      </w:tr>
      <w:tr>
        <w:tc>
          <w:tcPr/>
          <w:p>
            <w:pPr>
              <w:pStyle w:val="Compact"/>
            </w:pPr>
            <w:r>
              <w:t xml:space="preserve">R-04</w:t>
            </w:r>
          </w:p>
        </w:tc>
        <w:tc>
          <w:tcPr/>
          <w:p>
            <w:pPr>
              <w:pStyle w:val="Compact"/>
            </w:pPr>
            <w:r>
              <w:t xml:space="preserve">Niedrig</w:t>
            </w:r>
          </w:p>
        </w:tc>
        <w:tc>
          <w:tcPr/>
          <w:p>
            <w:pPr>
              <w:pStyle w:val="Compact"/>
            </w:pPr>
            <w:r>
              <w:rPr>
                <w:b/>
                <w:bCs/>
              </w:rPr>
              <w:t xml:space="preserve">Performance bei grosser Datenmenge</w:t>
            </w:r>
          </w:p>
        </w:tc>
        <w:tc>
          <w:tcPr/>
          <w:p>
            <w:pPr>
              <w:pStyle w:val="Compact"/>
            </w:pPr>
            <w:r>
              <w:t xml:space="preserve">Statistik-Berechnungen könnten langsam werden. Mitigation: Indizes, Caching, ggf. materialized Views.</w:t>
            </w:r>
          </w:p>
        </w:tc>
      </w:tr>
      <w:tr>
        <w:tc>
          <w:tcPr/>
          <w:p>
            <w:pPr>
              <w:pStyle w:val="Compact"/>
            </w:pPr>
            <w:r>
              <w:t xml:space="preserve">R-05</w:t>
            </w:r>
          </w:p>
        </w:tc>
        <w:tc>
          <w:tcPr/>
          <w:p>
            <w:pPr>
              <w:pStyle w:val="Compact"/>
            </w:pPr>
            <w:r>
              <w:t xml:space="preserve">Mittel</w:t>
            </w:r>
          </w:p>
        </w:tc>
        <w:tc>
          <w:tcPr/>
          <w:p>
            <w:pPr>
              <w:pStyle w:val="Compact"/>
            </w:pPr>
            <w:r>
              <w:rPr>
                <w:b/>
                <w:bCs/>
              </w:rPr>
              <w:t xml:space="preserve">iOS-Doppelentwicklung</w:t>
            </w:r>
          </w:p>
        </w:tc>
        <w:tc>
          <w:tcPr/>
          <w:p>
            <w:pPr>
              <w:pStyle w:val="Compact"/>
            </w:pPr>
            <w:r>
              <w:t xml:space="preserve">Native iOS-App (V2) = doppeltes Frontend. Alternative: PWA evaluieren.</w:t>
            </w:r>
          </w:p>
        </w:tc>
      </w:tr>
      <w:tr>
        <w:tc>
          <w:tcPr/>
          <w:p>
            <w:pPr>
              <w:pStyle w:val="Compact"/>
            </w:pPr>
            <w:r>
              <w:t xml:space="preserve">R-06</w:t>
            </w:r>
          </w:p>
        </w:tc>
        <w:tc>
          <w:tcPr/>
          <w:p>
            <w:pPr>
              <w:pStyle w:val="Compact"/>
            </w:pPr>
            <w:r>
              <w:t xml:space="preserve">Mittel</w:t>
            </w:r>
          </w:p>
        </w:tc>
        <w:tc>
          <w:tcPr/>
          <w:p>
            <w:pPr>
              <w:pStyle w:val="Compact"/>
            </w:pPr>
            <w:r>
              <w:rPr>
                <w:b/>
                <w:bCs/>
              </w:rPr>
              <w:t xml:space="preserve">OpenAI-Kosten</w:t>
            </w:r>
          </w:p>
        </w:tc>
        <w:tc>
          <w:tcPr/>
          <w:p>
            <w:pPr>
              <w:pStyle w:val="Compact"/>
            </w:pPr>
            <w:r>
              <w:t xml:space="preserve">Manueller Trigger + Persistenz (eine Analyse/Match) + Mindest-Punktzahl (≥ 10) begrenzen das Volumen;</w:t>
            </w:r>
            <w:r>
              <w:t xml:space="preserve"> </w:t>
            </w:r>
            <w:r>
              <w:rPr>
                <w:rStyle w:val="VerbatimChar"/>
              </w:rPr>
              <w:t xml:space="preserve">gpt-4o-mini</w:t>
            </w:r>
            <w:r>
              <w:t xml:space="preserve"> </w:t>
            </w:r>
            <w:r>
              <w:t xml:space="preserve">Default; Wechsel auf lokales LLM via</w:t>
            </w:r>
            <w:r>
              <w:t xml:space="preserve"> </w:t>
            </w:r>
            <w:r>
              <w:rPr>
                <w:rStyle w:val="VerbatimChar"/>
              </w:rPr>
              <w:t xml:space="preserve">LlmClientPort</w:t>
            </w:r>
            <w:r>
              <w:t xml:space="preserve"> </w:t>
            </w:r>
            <w:r>
              <w:t xml:space="preserve">möglich.</w:t>
            </w:r>
          </w:p>
        </w:tc>
      </w:tr>
      <w:tr>
        <w:tc>
          <w:tcPr/>
          <w:p>
            <w:pPr>
              <w:pStyle w:val="Compact"/>
            </w:pPr>
            <w:r>
              <w:t xml:space="preserve">R-07</w:t>
            </w:r>
          </w:p>
        </w:tc>
        <w:tc>
          <w:tcPr/>
          <w:p>
            <w:pPr>
              <w:pStyle w:val="Compact"/>
            </w:pPr>
            <w:r>
              <w:t xml:space="preserve">Niedrig</w:t>
            </w:r>
          </w:p>
        </w:tc>
        <w:tc>
          <w:tcPr/>
          <w:p>
            <w:pPr>
              <w:pStyle w:val="Compact"/>
            </w:pPr>
            <w:r>
              <w:rPr>
                <w:b/>
                <w:bCs/>
              </w:rPr>
              <w:t xml:space="preserve">Spring AI Milestone</w:t>
            </w:r>
          </w:p>
        </w:tc>
        <w:tc>
          <w:tcPr/>
          <w:p>
            <w:pPr>
              <w:pStyle w:val="Compact"/>
            </w:pPr>
            <w:r>
              <w:t xml:space="preserve">Spring AI 2.0.x im Milestone-Status (</w:t>
            </w:r>
            <w:r>
              <w:rPr>
                <w:rStyle w:val="VerbatimChar"/>
              </w:rPr>
              <w:t xml:space="preserve">2.0.0-M6</w:t>
            </w:r>
            <w:r>
              <w:t xml:space="preserve">) — Breaking-Change-Risiko vor GA. Mitigation: dünner Adapter, GA-Umstellung voraussichtlich trivial.</w:t>
            </w:r>
          </w:p>
        </w:tc>
      </w:tr>
      <w:tr>
        <w:tc>
          <w:tcPr/>
          <w:p>
            <w:pPr>
              <w:pStyle w:val="Compact"/>
            </w:pPr>
            <w:r>
              <w:t xml:space="preserve">R-08</w:t>
            </w:r>
          </w:p>
        </w:tc>
        <w:tc>
          <w:tcPr/>
          <w:p>
            <w:pPr>
              <w:pStyle w:val="Compact"/>
            </w:pPr>
            <w:r>
              <w:t xml:space="preserve">Niedrig</w:t>
            </w:r>
          </w:p>
        </w:tc>
        <w:tc>
          <w:tcPr/>
          <w:p>
            <w:pPr>
              <w:pStyle w:val="Compact"/>
            </w:pPr>
            <w:r>
              <w:rPr>
                <w:b/>
                <w:bCs/>
              </w:rPr>
              <w:t xml:space="preserve">Lasttest ausstehend</w:t>
            </w:r>
          </w:p>
        </w:tc>
        <w:tc>
          <w:tcPr/>
          <w:p>
            <w:pPr>
              <w:pStyle w:val="Compact"/>
            </w:pPr>
            <w:r>
              <w:t xml:space="preserve">Antwortzeit-/Skalierbarkeitsziele (QZ-03/04/06, NFA-01) sind spezifiziert, aber noch nicht formal per Lasttest nachgewiesen. Nachweis via k6/JMeter (100 Nutzer, p95: Write ≤ 250 ms, Read ≤ 500 ms, Degradation ≤ 20 %). Offen als Ticket</w:t>
            </w:r>
            <w:r>
              <w:t xml:space="preserve"> </w:t>
            </w:r>
            <w:r>
              <w:rPr>
                <w:b/>
                <w:bCs/>
              </w:rPr>
              <w:t xml:space="preserve">TEN-69</w:t>
            </w:r>
            <w:r>
              <w:t xml:space="preserve">.</w:t>
            </w:r>
          </w:p>
        </w:tc>
      </w:tr>
    </w:tbl>
    <w:p>
      <w:r>
        <w:pict>
          <v:rect style="width:0;height:1.5pt" o:hralign="center" o:hrstd="t" o:hr="t"/>
        </w:pict>
      </w:r>
    </w:p>
    <w:bookmarkEnd w:id="91"/>
    <w:bookmarkStart w:id="95" w:name="ki-werkzeuge-im-projekt"/>
    <w:p>
      <w:pPr>
        <w:pStyle w:val="Heading2"/>
      </w:pPr>
      <w:r>
        <w:t xml:space="preserve">13. KI-Werkzeuge im Projekt</w:t>
      </w:r>
    </w:p>
    <w:bookmarkStart w:id="92" w:name="eingesetzte-werkzeuge"/>
    <w:p>
      <w:pPr>
        <w:pStyle w:val="Heading3"/>
      </w:pPr>
      <w:r>
        <w:t xml:space="preserve">13.1 Eingesetzte Werkzeuge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Werkzeug</w:t>
            </w:r>
          </w:p>
        </w:tc>
        <w:tc>
          <w:tcPr/>
          <w:p>
            <w:pPr>
              <w:pStyle w:val="Compact"/>
            </w:pPr>
            <w:r>
              <w:t xml:space="preserve">Version / Modell</w:t>
            </w:r>
          </w:p>
        </w:tc>
        <w:tc>
          <w:tcPr/>
          <w:p>
            <w:pPr>
              <w:pStyle w:val="Compact"/>
            </w:pPr>
            <w:r>
              <w:t xml:space="preserve">Einsatzbereich</w:t>
            </w:r>
          </w:p>
        </w:tc>
      </w:tr>
      <w:tr>
        <w:tc>
          <w:tcPr/>
          <w:p>
            <w:pPr>
              <w:pStyle w:val="Compact"/>
            </w:pPr>
            <w:r>
              <w:t xml:space="preserve">Claude Code</w:t>
            </w:r>
          </w:p>
        </w:tc>
        <w:tc>
          <w:tcPr/>
          <w:p>
            <w:pPr>
              <w:pStyle w:val="Compact"/>
            </w:pPr>
            <w:r>
              <w:t xml:space="preserve">Opus 4.7 / 4.8 (1M-Context) als Hauptmodell; Sonnet 4.6 für Subagents (Superpowers)</w:t>
            </w:r>
          </w:p>
        </w:tc>
        <w:tc>
          <w:tcPr/>
          <w:p>
            <w:pPr>
              <w:pStyle w:val="Compact"/>
            </w:pPr>
            <w:r>
              <w:t xml:space="preserve">Spezifikation, Planung, Implementierung, Review</w:t>
            </w:r>
          </w:p>
        </w:tc>
      </w:tr>
      <w:tr>
        <w:tc>
          <w:tcPr/>
          <w:p>
            <w:pPr>
              <w:pStyle w:val="Compact"/>
            </w:pPr>
            <w:r>
              <w:t xml:space="preserve">Superpowers Skill-Suite</w:t>
            </w:r>
          </w:p>
        </w:tc>
        <w:tc>
          <w:tcPr/>
          <w:p>
            <w:pPr>
              <w:pStyle w:val="Compact"/>
            </w:pPr>
            <w:r>
              <w:t xml:space="preserve">brainstorming, writing-plans, subagent-driven-development, …</w:t>
            </w:r>
          </w:p>
        </w:tc>
        <w:tc>
          <w:tcPr/>
          <w:p>
            <w:pPr>
              <w:pStyle w:val="Compact"/>
            </w:pPr>
            <w:r>
              <w:t xml:space="preserve">Strukturierter Spec → Plan → Implementierungs-Workflow</w:t>
            </w:r>
          </w:p>
        </w:tc>
      </w:tr>
      <w:tr>
        <w:tc>
          <w:tcPr/>
          <w:p>
            <w:pPr>
              <w:pStyle w:val="Compact"/>
            </w:pPr>
            <w:r>
              <w:rPr>
                <w:rStyle w:val="VerbatimChar"/>
              </w:rPr>
              <w:t xml:space="preserve">pr-review-toolkit</w:t>
            </w:r>
            <w:r>
              <w:t xml:space="preserve"> </w:t>
            </w:r>
            <w:r>
              <w:t xml:space="preserve">/</w:t>
            </w:r>
            <w:r>
              <w:t xml:space="preserve"> </w:t>
            </w:r>
            <w:r>
              <w:rPr>
                <w:rStyle w:val="VerbatimChar"/>
              </w:rPr>
              <w:t xml:space="preserve">/code-review ultra</w:t>
            </w:r>
          </w:p>
        </w:tc>
        <w:tc>
          <w:tcPr/>
          <w:p>
            <w:pPr>
              <w:pStyle w:val="Compact"/>
            </w:pPr>
            <w:r>
              <w:t xml:space="preserve">Multi-Agent-Review</w:t>
            </w:r>
          </w:p>
        </w:tc>
        <w:tc>
          <w:tcPr/>
          <w:p>
            <w:pPr>
              <w:pStyle w:val="Compact"/>
            </w:pPr>
            <w:r>
              <w:t xml:space="preserve">Codeüberprüfung vor Merge</w:t>
            </w:r>
          </w:p>
        </w:tc>
      </w:tr>
      <w:tr>
        <w:tc>
          <w:tcPr/>
          <w:p>
            <w:pPr>
              <w:pStyle w:val="Compact"/>
            </w:pPr>
            <w:r>
              <w:t xml:space="preserve">Context7 MCP</w:t>
            </w:r>
          </w:p>
        </w:tc>
        <w:tc>
          <w:tcPr/>
          <w:p>
            <w:pPr>
              <w:pStyle w:val="Compact"/>
            </w:pPr>
            <w:r>
              <w:t xml:space="preserve">–</w:t>
            </w:r>
          </w:p>
        </w:tc>
        <w:tc>
          <w:tcPr/>
          <w:p>
            <w:pPr>
              <w:pStyle w:val="Compact"/>
            </w:pPr>
            <w:r>
              <w:t xml:space="preserve">Doc-Recherche (Spring AI, springdoc, Testcontainers)</w:t>
            </w:r>
          </w:p>
        </w:tc>
      </w:tr>
      <w:tr>
        <w:tc>
          <w:tcPr/>
          <w:p>
            <w:pPr>
              <w:pStyle w:val="Compact"/>
            </w:pPr>
            <w:r>
              <w:t xml:space="preserve">GitHub MCP</w:t>
            </w:r>
          </w:p>
        </w:tc>
        <w:tc>
          <w:tcPr/>
          <w:p>
            <w:pPr>
              <w:pStyle w:val="Compact"/>
            </w:pPr>
            <w:r>
              <w:t xml:space="preserve">–</w:t>
            </w:r>
          </w:p>
        </w:tc>
        <w:tc>
          <w:tcPr/>
          <w:p>
            <w:pPr>
              <w:pStyle w:val="Compact"/>
            </w:pPr>
            <w:r>
              <w:t xml:space="preserve">PR-/Issue-Verwaltung, Branch-Operationen</w:t>
            </w:r>
          </w:p>
        </w:tc>
      </w:tr>
    </w:tbl>
    <w:bookmarkEnd w:id="92"/>
    <w:bookmarkStart w:id="93" w:name="einsatz-pro-phase"/>
    <w:p>
      <w:pPr>
        <w:pStyle w:val="Heading3"/>
      </w:pPr>
      <w:r>
        <w:t xml:space="preserve">13.2 Einsatz pro Phase</w:t>
      </w:r>
    </w:p>
    <w:p>
      <w:pPr>
        <w:pStyle w:val="Compact"/>
        <w:numPr>
          <w:ilvl w:val="0"/>
          <w:numId w:val="1011"/>
        </w:numPr>
      </w:pPr>
      <w:r>
        <w:rPr>
          <w:b/>
          <w:bCs/>
        </w:rPr>
        <w:t xml:space="preserve">Generierung.</w:t>
      </w:r>
      <w:r>
        <w:t xml:space="preserve"> </w:t>
      </w:r>
      <w:r>
        <w:t xml:space="preserve">Jede grössere Änderung folgt der Reihenfolge</w:t>
      </w:r>
      <w:r>
        <w:t xml:space="preserve"> </w:t>
      </w:r>
      <w:r>
        <w:rPr>
          <w:rStyle w:val="VerbatimChar"/>
        </w:rPr>
        <w:t xml:space="preserve">Brainstorming → Spec → Plan → Implementierung mit TDD</w:t>
      </w:r>
      <w:r>
        <w:t xml:space="preserve">. Spec-/Plan-Dokumente unter</w:t>
      </w:r>
      <w:r>
        <w:t xml:space="preserve"> </w:t>
      </w:r>
      <w:r>
        <w:rPr>
          <w:rStyle w:val="VerbatimChar"/>
        </w:rPr>
        <w:t xml:space="preserve">docs/superpowers/specs/</w:t>
      </w:r>
      <w:r>
        <w:t xml:space="preserve"> </w:t>
      </w:r>
      <w:r>
        <w:t xml:space="preserve">bzw.</w:t>
      </w:r>
      <w:r>
        <w:t xml:space="preserve"> </w:t>
      </w:r>
      <w:r>
        <w:rPr>
          <w:rStyle w:val="VerbatimChar"/>
        </w:rPr>
        <w:t xml:space="preserve">…/plans/</w:t>
      </w:r>
      <w:r>
        <w:t xml:space="preserve"> </w:t>
      </w:r>
      <w:r>
        <w:t xml:space="preserve">(je mit dem TEN-Ticket im Namen), z. B. AI-Postmortem (FA-11), Bean-Validation (TEN-60), Owner-Binding/RBAC (TEN-55).</w:t>
      </w:r>
    </w:p>
    <w:p>
      <w:pPr>
        <w:pStyle w:val="Compact"/>
        <w:numPr>
          <w:ilvl w:val="0"/>
          <w:numId w:val="1011"/>
        </w:numPr>
      </w:pPr>
      <w:r>
        <w:rPr>
          <w:b/>
          <w:bCs/>
        </w:rPr>
        <w:t xml:space="preserve">Review.</w:t>
      </w:r>
      <w:r>
        <w:t xml:space="preserve"> </w:t>
      </w:r>
      <w:r>
        <w:t xml:space="preserve">Vor jedem Merge auf</w:t>
      </w:r>
      <w:r>
        <w:t xml:space="preserve"> </w:t>
      </w:r>
      <w:r>
        <w:rPr>
          <w:rStyle w:val="VerbatimChar"/>
        </w:rPr>
        <w:t xml:space="preserve">develop</w:t>
      </w:r>
      <w:r>
        <w:t xml:space="preserve"> </w:t>
      </w:r>
      <w:r>
        <w:t xml:space="preserve">läuft</w:t>
      </w:r>
      <w:r>
        <w:t xml:space="preserve"> </w:t>
      </w:r>
      <w:r>
        <w:rPr>
          <w:rStyle w:val="VerbatimChar"/>
        </w:rPr>
        <w:t xml:space="preserve">/code-review</w:t>
      </w:r>
      <w:r>
        <w:t xml:space="preserve"> </w:t>
      </w:r>
      <w:r>
        <w:t xml:space="preserve">bzw.</w:t>
      </w:r>
      <w:r>
        <w:t xml:space="preserve"> </w:t>
      </w:r>
      <w:r>
        <w:rPr>
          <w:rStyle w:val="VerbatimChar"/>
        </w:rPr>
        <w:t xml:space="preserve">pr-review-toolkit:review-pr</w:t>
      </w:r>
      <w:r>
        <w:t xml:space="preserve"> </w:t>
      </w:r>
      <w:r>
        <w:t xml:space="preserve">(Multi-Agent-Fan-out) gegen das Diff. Der KI-Selbst-Audit</w:t>
      </w:r>
      <w:r>
        <w:t xml:space="preserve"> </w:t>
      </w:r>
      <w:r>
        <w:rPr>
          <w:rStyle w:val="VerbatimChar"/>
        </w:rPr>
        <w:t xml:space="preserve">Code-Pruefung_Kriterien_7_und_8.md</w:t>
      </w:r>
      <w:r>
        <w:t xml:space="preserve"> </w:t>
      </w:r>
      <w:r>
        <w:t xml:space="preserve">identifizierte Lücken, die in ADR-12, ADR-13 und</w:t>
      </w:r>
      <w:r>
        <w:t xml:space="preserve"> </w:t>
      </w:r>
      <w:r>
        <w:rPr>
          <w:rStyle w:val="VerbatimChar"/>
        </w:rPr>
        <w:t xml:space="preserve">ArchitectureTest</w:t>
      </w:r>
      <w:r>
        <w:t xml:space="preserve"> </w:t>
      </w:r>
      <w:r>
        <w:t xml:space="preserve">adressiert wurden.</w:t>
      </w:r>
    </w:p>
    <w:p>
      <w:pPr>
        <w:pStyle w:val="Compact"/>
        <w:numPr>
          <w:ilvl w:val="0"/>
          <w:numId w:val="1011"/>
        </w:numPr>
      </w:pPr>
      <w:r>
        <w:rPr>
          <w:b/>
          <w:bCs/>
        </w:rPr>
        <w:t xml:space="preserve">Refactoring.</w:t>
      </w:r>
      <w:r>
        <w:t xml:space="preserve"> </w:t>
      </w:r>
      <w:r>
        <w:t xml:space="preserve">Spec-getriebene Cleanups mit TDD (z. B. TEN-60 typed enums +</w:t>
      </w:r>
      <w:r>
        <w:t xml:space="preserve"> </w:t>
      </w:r>
      <w:r>
        <w:rPr>
          <w:rStyle w:val="VerbatimChar"/>
        </w:rPr>
        <w:t xml:space="preserve">@Size</w:t>
      </w:r>
      <w:r>
        <w:t xml:space="preserve"> </w:t>
      </w:r>
      <w:r>
        <w:t xml:space="preserve">auf DTOs).</w:t>
      </w:r>
    </w:p>
    <w:p>
      <w:pPr>
        <w:pStyle w:val="Compact"/>
        <w:numPr>
          <w:ilvl w:val="0"/>
          <w:numId w:val="1011"/>
        </w:numPr>
      </w:pPr>
      <w:r>
        <w:rPr>
          <w:b/>
          <w:bCs/>
        </w:rPr>
        <w:t xml:space="preserve">Recherche.</w:t>
      </w:r>
      <w:r>
        <w:t xml:space="preserve"> </w:t>
      </w:r>
      <w:r>
        <w:t xml:space="preserve">Punktuelle Aufgaben (Spring AI 2.x Boot-4, JaCoCo-Aggregation, JWT-Mock, Testcontainers + Podman) via Web-Recherche-Subagenten und Context7; Ergebnisse flossen in ADR-10 (R-07) und ADR-11 (Coverage-Schwellen).</w:t>
      </w:r>
    </w:p>
    <w:bookmarkEnd w:id="93"/>
    <w:bookmarkStart w:id="94" w:name="eigenständigkeit"/>
    <w:p>
      <w:pPr>
        <w:pStyle w:val="Heading3"/>
      </w:pPr>
      <w:r>
        <w:t xml:space="preserve">13.3 Eigenständigkeit</w:t>
      </w:r>
    </w:p>
    <w:p>
      <w:pPr>
        <w:pStyle w:val="FirstParagraph"/>
      </w:pPr>
      <w:r>
        <w:t xml:space="preserve">Eine separate Eigenständigkeitserklärung (</w:t>
      </w:r>
      <w:r>
        <w:rPr>
          <w:rStyle w:val="VerbatimChar"/>
        </w:rPr>
        <w:t xml:space="preserve">doc/sad/TSaS_Eigenstaendigkeitserklaerung.md</w:t>
      </w:r>
      <w:r>
        <w:t xml:space="preserve">) bestätigt, dass alle KI-Vorschläge vor Übernahme geprüft,</w:t>
      </w:r>
      <w:r>
        <w:t xml:space="preserve"> </w:t>
      </w:r>
      <w:r>
        <w:t xml:space="preserve">angenommen oder zurückgewiesen wurden. Die drei wichtigsten bewusst</w:t>
      </w:r>
      <w:r>
        <w:t xml:space="preserve"> </w:t>
      </w:r>
      <w:r>
        <w:rPr>
          <w:b/>
          <w:bCs/>
        </w:rPr>
        <w:t xml:space="preserve">nicht</w:t>
      </w:r>
      <w:r>
        <w:t xml:space="preserve"> </w:t>
      </w:r>
      <w:r>
        <w:t xml:space="preserve">an die KI delegierten Entscheidungen sind in §14 belegt.</w:t>
      </w:r>
    </w:p>
    <w:p>
      <w:r>
        <w:pict>
          <v:rect style="width:0;height:1.5pt" o:hralign="center" o:hrstd="t" o:hr="t"/>
        </w:pict>
      </w:r>
    </w:p>
    <w:bookmarkEnd w:id="94"/>
    <w:bookmarkEnd w:id="95"/>
    <w:bookmarkStart w:id="106" w:name="reflexion-und-fazit"/>
    <w:p>
      <w:pPr>
        <w:pStyle w:val="Heading2"/>
      </w:pPr>
      <w:r>
        <w:t xml:space="preserve">14. Reflexion und Fazit</w:t>
      </w:r>
    </w:p>
    <w:p>
      <w:pPr>
        <w:pStyle w:val="FirstParagraph"/>
      </w:pPr>
      <w:r>
        <w:t xml:space="preserve">Die Anwendung entstand auf Basis eines rund zu 70 % vorab erstellten SAD und wurde danach schrittweise mit dem Claude CLI entwickelt — anfangs rein über Prompts,</w:t>
      </w:r>
      <w:r>
        <w:t xml:space="preserve"> </w:t>
      </w:r>
      <w:r>
        <w:t xml:space="preserve">später über Linear-Tickets. Aus dieser Arbeitsweise ergeben sich die folgenden Reflexionen.</w:t>
      </w:r>
    </w:p>
    <w:p>
      <w:pPr>
        <w:pStyle w:val="BodyText"/>
      </w:pPr>
      <w:r>
        <w:t xml:space="preserve">Drei Bereiche wurden bewusst</w:t>
      </w:r>
      <w:r>
        <w:t xml:space="preserve"> </w:t>
      </w:r>
      <w:r>
        <w:rPr>
          <w:b/>
          <w:bCs/>
        </w:rPr>
        <w:t xml:space="preserve">nicht an die KI delegiert</w:t>
      </w:r>
      <w:r>
        <w:t xml:space="preserve">. „Nicht delegiert” heisst dabei nicht, dass der Code von Hand statt KI-gestützt entstand — die</w:t>
      </w:r>
      <w:r>
        <w:t xml:space="preserve"> </w:t>
      </w:r>
      <w:r>
        <w:rPr>
          <w:i/>
          <w:iCs/>
        </w:rPr>
        <w:t xml:space="preserve">Generierung</w:t>
      </w:r>
      <w:r>
        <w:t xml:space="preserve"> </w:t>
      </w:r>
      <w:r>
        <w:t xml:space="preserve">war wie</w:t>
      </w:r>
      <w:r>
        <w:t xml:space="preserve"> </w:t>
      </w:r>
      <w:r>
        <w:t xml:space="preserve">beim übrigen Code KI-unterstützt. Delegiert wurde nicht die</w:t>
      </w:r>
      <w:r>
        <w:t xml:space="preserve"> </w:t>
      </w:r>
      <w:r>
        <w:rPr>
          <w:b/>
          <w:bCs/>
        </w:rPr>
        <w:t xml:space="preserve">Entscheidung und Verifikation</w:t>
      </w:r>
      <w:r>
        <w:t xml:space="preserve">: hier blieb die inhaltliche Verantwortung durchgängig menschlich, KI-Vorschläge wurden geprüft und wo nötig verworfen (konsistent mit §13.3).</w:t>
      </w:r>
    </w:p>
    <w:bookmarkStart w:id="96" w:name="veto-1-security-konfiguration"/>
    <w:p>
      <w:pPr>
        <w:pStyle w:val="Heading3"/>
      </w:pPr>
      <w:r>
        <w:t xml:space="preserve">14.1 Veto 1 — Security-Konfiguration</w:t>
      </w:r>
    </w:p>
    <w:p>
      <w:pPr>
        <w:pStyle w:val="FirstParagraph"/>
      </w:pPr>
      <w:r>
        <w:rPr>
          <w:rStyle w:val="VerbatimChar"/>
        </w:rPr>
        <w:t xml:space="preserve">SecurityConfig.java</w:t>
      </w:r>
      <w:r>
        <w:t xml:space="preserve">, Keycloak-Realm-Export, JWT-Validator, CORS und Pfad-Permits wurden — wie der übrige Code —</w:t>
      </w:r>
      <w:r>
        <w:t xml:space="preserve"> </w:t>
      </w:r>
      <w:r>
        <w:rPr>
          <w:b/>
          <w:bCs/>
        </w:rPr>
        <w:t xml:space="preserve">KI-gestützt erstellt, aber bewusst nicht als KI-Default übernommen</w:t>
      </w:r>
      <w:r>
        <w:t xml:space="preserve">: jede sicherheitsrelevante Zeile wurde manuell gegen die OAuth2-/OIDC-Spec geprüft und KI-Vorschläge, wo nötig, verworfen.</w:t>
      </w:r>
      <w:r>
        <w:t xml:space="preserve"> </w:t>
      </w:r>
      <w:r>
        <w:rPr>
          <w:b/>
          <w:bCs/>
        </w:rPr>
        <w:t xml:space="preserve">Begründung:</w:t>
      </w:r>
      <w:r>
        <w:t xml:space="preserve"> </w:t>
      </w:r>
      <w:r>
        <w:t xml:space="preserve">Fehlerhafte Token-Validation (</w:t>
      </w:r>
      <w:r>
        <w:rPr>
          <w:rStyle w:val="VerbatimChar"/>
        </w:rPr>
        <w:t xml:space="preserve">aud</w:t>
      </w:r>
      <w:r>
        <w:t xml:space="preserve">/</w:t>
      </w:r>
      <w:r>
        <w:rPr>
          <w:rStyle w:val="VerbatimChar"/>
        </w:rPr>
        <w:t xml:space="preserve">iss</w:t>
      </w:r>
      <w:r>
        <w:t xml:space="preserve">, JWK-URL, Permit-Patterns) erzeugt direkt Auth-Bypass-Lücken; generative Tools schlagen oft</w:t>
      </w:r>
      <w:r>
        <w:t xml:space="preserve"> </w:t>
      </w:r>
      <w:r>
        <w:rPr>
          <w:rStyle w:val="VerbatimChar"/>
        </w:rPr>
        <w:t xml:space="preserve">permitAll()</w:t>
      </w:r>
      <w:r>
        <w:t xml:space="preserve"> </w:t>
      </w:r>
      <w:r>
        <w:t xml:space="preserve">als „lauffähigen” Default vor oder lassen die</w:t>
      </w:r>
      <w:r>
        <w:t xml:space="preserve"> </w:t>
      </w:r>
      <w:r>
        <w:rPr>
          <w:rStyle w:val="VerbatimChar"/>
        </w:rPr>
        <w:t xml:space="preserve">aud</w:t>
      </w:r>
      <w:r>
        <w:t xml:space="preserve">-Prüfung weg — genau solche Vorschläge wurden hier zurückgewiesen.</w:t>
      </w:r>
      <w:r>
        <w:t xml:space="preserve"> </w:t>
      </w:r>
      <w:r>
        <w:rPr>
          <w:b/>
          <w:bCs/>
        </w:rPr>
        <w:t xml:space="preserve">Beleg:</w:t>
      </w:r>
      <w:r>
        <w:t xml:space="preserve"> </w:t>
      </w:r>
      <w:r>
        <w:t xml:space="preserve">Die</w:t>
      </w:r>
      <w:r>
        <w:t xml:space="preserve"> </w:t>
      </w:r>
      <w:r>
        <w:rPr>
          <w:rStyle w:val="VerbatimChar"/>
        </w:rPr>
        <w:t xml:space="preserve">aud</w:t>
      </w:r>
      <w:r>
        <w:t xml:space="preserve">-Lücke (STRIDE-Befund S1, Hoch) wurde im manuellen Audit gefunden — ein KI-Review hätte sie kaum als Lücke erkannt, da</w:t>
      </w:r>
      <w:r>
        <w:t xml:space="preserve"> </w:t>
      </w:r>
      <w:r>
        <w:rPr>
          <w:rStyle w:val="VerbatimChar"/>
        </w:rPr>
        <w:t xml:space="preserve">createDefaultWithIssuer</w:t>
      </w:r>
      <w:r>
        <w:t xml:space="preserve"> </w:t>
      </w:r>
      <w:r>
        <w:t xml:space="preserve">formal „korrekt” ist.</w:t>
      </w:r>
    </w:p>
    <w:bookmarkEnd w:id="96"/>
    <w:bookmarkStart w:id="97" w:name="veto-2-architekturentscheidungen-adrs"/>
    <w:p>
      <w:pPr>
        <w:pStyle w:val="Heading3"/>
      </w:pPr>
      <w:r>
        <w:t xml:space="preserve">14.2 Veto 2 — Architekturentscheidungen (ADRs)</w:t>
      </w:r>
    </w:p>
    <w:p>
      <w:pPr>
        <w:pStyle w:val="FirstParagraph"/>
      </w:pPr>
      <w:r>
        <w:t xml:space="preserve">Die ADRs in §9 wurden inhaltlich</w:t>
      </w:r>
      <w:r>
        <w:t xml:space="preserve"> </w:t>
      </w:r>
      <w:r>
        <w:rPr>
          <w:b/>
          <w:bCs/>
        </w:rPr>
        <w:t xml:space="preserve">manuell</w:t>
      </w:r>
      <w:r>
        <w:t xml:space="preserve"> </w:t>
      </w:r>
      <w:r>
        <w:t xml:space="preserve">entschieden; die KI half nur beim Ausformulieren der Trade-offs.</w:t>
      </w:r>
      <w:r>
        <w:t xml:space="preserve"> </w:t>
      </w:r>
      <w:r>
        <w:rPr>
          <w:b/>
          <w:bCs/>
        </w:rPr>
        <w:t xml:space="preserve">Begründung:</w:t>
      </w:r>
      <w:r>
        <w:t xml:space="preserve"> </w:t>
      </w:r>
      <w:r>
        <w:t xml:space="preserve">KI-Vorschläge tendieren zu konservativen „Best-Practice”-Empfehlungen und übersehen Kontext (Team-Grösse, Roadmap). Drei Gegen-Entscheidungen:</w:t>
      </w:r>
      <w:r>
        <w:t xml:space="preserve"> </w:t>
      </w:r>
      <w:r>
        <w:rPr>
          <w:b/>
          <w:bCs/>
        </w:rPr>
        <w:t xml:space="preserve">ADR-07</w:t>
      </w:r>
      <w:r>
        <w:t xml:space="preserve"> </w:t>
      </w:r>
      <w:r>
        <w:t xml:space="preserve">verwirft Spring Modulith zugunsten von Compile-Zeit-Grenzen;</w:t>
      </w:r>
      <w:r>
        <w:t xml:space="preserve"> </w:t>
      </w:r>
      <w:r>
        <w:rPr>
          <w:b/>
          <w:bCs/>
        </w:rPr>
        <w:t xml:space="preserve">ADR-12</w:t>
      </w:r>
      <w:r>
        <w:t xml:space="preserve"> </w:t>
      </w:r>
      <w:r>
        <w:t xml:space="preserve">konsolidiert das</w:t>
      </w:r>
      <w:r>
        <w:t xml:space="preserve"> </w:t>
      </w:r>
      <w:r>
        <w:rPr>
          <w:rStyle w:val="VerbatimChar"/>
        </w:rPr>
        <w:t xml:space="preserve">scoring-module</w:t>
      </w:r>
      <w:r>
        <w:t xml:space="preserve"> </w:t>
      </w:r>
      <w:r>
        <w:t xml:space="preserve">zurück ins</w:t>
      </w:r>
      <w:r>
        <w:t xml:space="preserve"> </w:t>
      </w:r>
      <w:r>
        <w:rPr>
          <w:rStyle w:val="VerbatimChar"/>
        </w:rPr>
        <w:t xml:space="preserve">match-module</w:t>
      </w:r>
      <w:r>
        <w:t xml:space="preserve">;</w:t>
      </w:r>
      <w:r>
        <w:t xml:space="preserve"> </w:t>
      </w:r>
      <w:r>
        <w:rPr>
          <w:b/>
          <w:bCs/>
        </w:rPr>
        <w:t xml:space="preserve">ADR-13</w:t>
      </w:r>
      <w:r>
        <w:t xml:space="preserve"> </w:t>
      </w:r>
      <w:r>
        <w:t xml:space="preserve">erlaubt geteilte Domänen-Wertobjekte statt Anti-Corruption-Schicht.</w:t>
      </w:r>
      <w:r>
        <w:t xml:space="preserve"> </w:t>
      </w:r>
      <w:r>
        <w:rPr>
          <w:b/>
          <w:bCs/>
        </w:rPr>
        <w:t xml:space="preserve">Beleg:</w:t>
      </w:r>
      <w:r>
        <w:t xml:space="preserve"> </w:t>
      </w:r>
      <w:r>
        <w:t xml:space="preserve">Die Begründungen enthalten konkrete, nicht aus dem Code ableitbare Kontextfaktoren; ADR-12/13 sind explizite Korrekturen früherer Bausteinskizzen.</w:t>
      </w:r>
    </w:p>
    <w:bookmarkEnd w:id="97"/>
    <w:bookmarkStart w:id="98" w:name="veto-3-tennis-domänenregeln-im-scoring"/>
    <w:p>
      <w:pPr>
        <w:pStyle w:val="Heading3"/>
      </w:pPr>
      <w:r>
        <w:t xml:space="preserve">14.3 Veto 3 — Tennis-Domänenregeln im Scoring</w:t>
      </w:r>
    </w:p>
    <w:p>
      <w:pPr>
        <w:pStyle w:val="FirstParagraph"/>
      </w:pPr>
      <w:r>
        <w:rPr>
          <w:rStyle w:val="VerbatimChar"/>
        </w:rPr>
        <w:t xml:space="preserve">ScoringService.java</w:t>
      </w:r>
      <w:r>
        <w:t xml:space="preserve"> </w:t>
      </w:r>
      <w:r>
        <w:t xml:space="preserve">(Punkte, Spiele, Sätze, Tiebreak, Match-Tiebreak, Short Set, Einstand/Vorteil, Break-Point) wurde gegen das</w:t>
      </w:r>
      <w:r>
        <w:t xml:space="preserve"> </w:t>
      </w:r>
      <w:r>
        <w:rPr>
          <w:b/>
          <w:bCs/>
        </w:rPr>
        <w:t xml:space="preserve">ITF-Regelwerk manuell verifiziert</w:t>
      </w:r>
      <w:r>
        <w:t xml:space="preserve">, statt der KI-generierten Version blind zu vertrauen.</w:t>
      </w:r>
      <w:r>
        <w:t xml:space="preserve"> </w:t>
      </w:r>
      <w:r>
        <w:rPr>
          <w:b/>
          <w:bCs/>
        </w:rPr>
        <w:t xml:space="preserve">Begründung:</w:t>
      </w:r>
      <w:r>
        <w:t xml:space="preserve"> </w:t>
      </w:r>
      <w:r>
        <w:t xml:space="preserve">LLMs haben unzuverlässige Domänenkenntnis bei Sport-Regelwerken (Edge Cases: Match-Tiebreak, Short Set, Tiebreak-Wechsel); falsche Regeln würde der Coach am Platz sofort bemerken.</w:t>
      </w:r>
      <w:r>
        <w:t xml:space="preserve"> </w:t>
      </w:r>
      <w:r>
        <w:rPr>
          <w:b/>
          <w:bCs/>
        </w:rPr>
        <w:t xml:space="preserve">Beleg:</w:t>
      </w:r>
      <w:r>
        <w:t xml:space="preserve"> </w:t>
      </w:r>
      <w:r>
        <w:t xml:space="preserve">60</w:t>
      </w:r>
      <w:r>
        <w:t xml:space="preserve"> </w:t>
      </w:r>
      <w:r>
        <w:rPr>
          <w:rStyle w:val="VerbatimChar"/>
        </w:rPr>
        <w:t xml:space="preserve">match-module</w:t>
      </w:r>
      <w:r>
        <w:t xml:space="preserve">-Tests, grösstenteils Edge-Case-Tests; die hohe Branch-Coverage (74,2 %) ist direktes Resultat dieser Manuell-Verifikation.</w:t>
      </w:r>
    </w:p>
    <w:bookmarkEnd w:id="98"/>
    <w:bookmarkStart w:id="99" w:name="human-in-the-loop"/>
    <w:p>
      <w:pPr>
        <w:pStyle w:val="Heading3"/>
      </w:pPr>
      <w:r>
        <w:t xml:space="preserve">14.4 Human-in-the-Loop</w:t>
      </w:r>
    </w:p>
    <w:p>
      <w:pPr>
        <w:pStyle w:val="FirstParagraph"/>
      </w:pPr>
      <w:r>
        <w:t xml:space="preserve">Die KI trifft keine endgültigen Entscheidungen: generierte Empfehlungen sind Vorschläge (</w:t>
      </w:r>
      <w:r>
        <w:rPr>
          <w:rStyle w:val="VerbatimChar"/>
        </w:rPr>
        <w:t xml:space="preserve">OPEN</w:t>
      </w:r>
      <w:r>
        <w:t xml:space="preserve">); der Coach nimmt sie an oder verwirft sie (mit Begründung). HITL ist im Domänenmodell (</w:t>
      </w:r>
      <w:r>
        <w:rPr>
          <w:rStyle w:val="VerbatimChar"/>
        </w:rPr>
        <w:t xml:space="preserve">Recommendation.status</w:t>
      </w:r>
      <w:r>
        <w:t xml:space="preserve">) und im UI verankert.</w:t>
      </w:r>
    </w:p>
    <w:bookmarkEnd w:id="99"/>
    <w:bookmarkStart w:id="100" w:name="übertrag-auf-die-künftige-arbeitsweise"/>
    <w:p>
      <w:pPr>
        <w:pStyle w:val="Heading3"/>
      </w:pPr>
      <w:r>
        <w:t xml:space="preserve">14.5 Übertrag auf die künftige Arbeitsweise</w:t>
      </w:r>
    </w:p>
    <w:p>
      <w:pPr>
        <w:pStyle w:val="Compact"/>
        <w:numPr>
          <w:ilvl w:val="0"/>
          <w:numId w:val="1012"/>
        </w:numPr>
      </w:pPr>
      <w:r>
        <w:rPr>
          <w:b/>
          <w:bCs/>
        </w:rPr>
        <w:t xml:space="preserve">KI als Drafting-/Review-Werkzeug, nicht als Entscheider</w:t>
      </w:r>
      <w:r>
        <w:t xml:space="preserve"> </w:t>
      </w:r>
      <w:r>
        <w:t xml:space="preserve">— Entscheidungen (Stil, Trade-offs, Domänenregeln, Security) bleiben beim Menschen.</w:t>
      </w:r>
    </w:p>
    <w:p>
      <w:pPr>
        <w:pStyle w:val="Compact"/>
        <w:numPr>
          <w:ilvl w:val="0"/>
          <w:numId w:val="1012"/>
        </w:numPr>
      </w:pPr>
      <w:r>
        <w:rPr>
          <w:b/>
          <w:bCs/>
        </w:rPr>
        <w:t xml:space="preserve">Adversariales Review als Standard</w:t>
      </w:r>
      <w:r>
        <w:t xml:space="preserve"> </w:t>
      </w:r>
      <w:r>
        <w:t xml:space="preserve">— ein zweiter, unabhängiger KI-Agent prüft jeden grösseren Diff.</w:t>
      </w:r>
    </w:p>
    <w:p>
      <w:pPr>
        <w:pStyle w:val="Compact"/>
        <w:numPr>
          <w:ilvl w:val="0"/>
          <w:numId w:val="1012"/>
        </w:numPr>
      </w:pPr>
      <w:r>
        <w:rPr>
          <w:b/>
          <w:bCs/>
        </w:rPr>
        <w:t xml:space="preserve">Belegpflicht</w:t>
      </w:r>
      <w:r>
        <w:t xml:space="preserve"> </w:t>
      </w:r>
      <w:r>
        <w:t xml:space="preserve">— übernommene Vorschläge müssen in Spec, ADR oder Commit nachvollziehbar sein.</w:t>
      </w:r>
    </w:p>
    <w:p>
      <w:pPr>
        <w:pStyle w:val="Compact"/>
        <w:numPr>
          <w:ilvl w:val="0"/>
          <w:numId w:val="1012"/>
        </w:numPr>
      </w:pPr>
      <w:r>
        <w:rPr>
          <w:b/>
          <w:bCs/>
        </w:rPr>
        <w:t xml:space="preserve">Domänenregeln immer testen</w:t>
      </w:r>
      <w:r>
        <w:t xml:space="preserve"> </w:t>
      </w:r>
      <w:r>
        <w:t xml:space="preserve">— dedizierte Test-Suites; das 70-%-Branch-Gate hält die Disziplin durch.</w:t>
      </w:r>
    </w:p>
    <w:bookmarkEnd w:id="100"/>
    <w:bookmarkStart w:id="101" w:name="beobachtungen-aus-der-praxis"/>
    <w:p>
      <w:pPr>
        <w:pStyle w:val="Heading3"/>
      </w:pPr>
      <w:r>
        <w:t xml:space="preserve">14.6 Beobachtungen aus der Praxis</w:t>
      </w:r>
    </w:p>
    <w:p>
      <w:pPr>
        <w:pStyle w:val="FirstParagraph"/>
      </w:pPr>
      <w:r>
        <w:t xml:space="preserve">Über das Projekt hinweg haben sich mehrere Muster wiederholt:</w:t>
      </w:r>
    </w:p>
    <w:p>
      <w:pPr>
        <w:pStyle w:val="Compact"/>
        <w:numPr>
          <w:ilvl w:val="0"/>
          <w:numId w:val="1013"/>
        </w:numPr>
      </w:pPr>
      <w:r>
        <w:rPr>
          <w:b/>
          <w:bCs/>
        </w:rPr>
        <w:t xml:space="preserve">Präzision zahlt sich aus.</w:t>
      </w:r>
      <w:r>
        <w:t xml:space="preserve"> </w:t>
      </w:r>
      <w:r>
        <w:t xml:space="preserve">Je genauer der Prompt, desto besser das Ergebnis. Teils muss man hartnäckig bleiben, bis die KI umsetzt, was man will — und was man glaubte, ihr klar gesagt zu haben.</w:t>
      </w:r>
    </w:p>
    <w:p>
      <w:pPr>
        <w:pStyle w:val="Compact"/>
        <w:numPr>
          <w:ilvl w:val="0"/>
          <w:numId w:val="1013"/>
        </w:numPr>
      </w:pPr>
      <w:r>
        <w:rPr>
          <w:b/>
          <w:bCs/>
        </w:rPr>
        <w:t xml:space="preserve">KI als Sparring-Partner.</w:t>
      </w:r>
      <w:r>
        <w:t xml:space="preserve"> </w:t>
      </w:r>
      <w:r>
        <w:t xml:space="preserve">Für mich als Backend-Entwickler mit geringem Angular-Wissen war die KI ein wertvoller Gesprächspartner, um Frontend-Vorstellungen zu klären und Stil-Alternativen abzuwägen.</w:t>
      </w:r>
    </w:p>
    <w:p>
      <w:pPr>
        <w:pStyle w:val="Compact"/>
        <w:numPr>
          <w:ilvl w:val="0"/>
          <w:numId w:val="1013"/>
        </w:numPr>
      </w:pPr>
      <w:r>
        <w:rPr>
          <w:b/>
          <w:bCs/>
        </w:rPr>
        <w:t xml:space="preserve">Solide Vorarbeit ist entscheidend.</w:t>
      </w:r>
      <w:r>
        <w:t xml:space="preserve"> </w:t>
      </w:r>
      <w:r>
        <w:t xml:space="preserve">Nachträgliche Architektur-Refactorings dauern lange und kosten viele Tokens. Die tragenden Entscheidungen (Backend-, Frontend-, Systemarchitektur) müssen früh in einem Dokument festgehalten sein. Das</w:t>
      </w:r>
      <w:r>
        <w:t xml:space="preserve"> </w:t>
      </w:r>
      <w:r>
        <w:rPr>
          <w:rStyle w:val="VerbatimChar"/>
        </w:rPr>
        <w:t xml:space="preserve">CLAUDE.md</w:t>
      </w:r>
      <w:r>
        <w:t xml:space="preserve"> </w:t>
      </w:r>
      <w:r>
        <w:t xml:space="preserve">wird damit zum zentralen Steuerungsinstrument des Architekten — inklusive einer Definition of Done —, damit ein ganzes Team gleichwertigen Code erzeugt.</w:t>
      </w:r>
    </w:p>
    <w:p>
      <w:pPr>
        <w:pStyle w:val="Compact"/>
        <w:numPr>
          <w:ilvl w:val="0"/>
          <w:numId w:val="1013"/>
        </w:numPr>
      </w:pPr>
      <w:r>
        <w:rPr>
          <w:b/>
          <w:bCs/>
        </w:rPr>
        <w:t xml:space="preserve">Tickets brauchen mehr Sorgfalt.</w:t>
      </w:r>
      <w:r>
        <w:t xml:space="preserve"> </w:t>
      </w:r>
      <w:r>
        <w:t xml:space="preserve">Tasks/Tickets sollten aus einem Template entstehen und deutlich sorgfältiger formuliert sein als bei rein menschlicher Bearbeitung; die KI kann beim Erstellen helfen.</w:t>
      </w:r>
    </w:p>
    <w:p>
      <w:pPr>
        <w:pStyle w:val="Compact"/>
        <w:numPr>
          <w:ilvl w:val="0"/>
          <w:numId w:val="1013"/>
        </w:numPr>
      </w:pPr>
      <w:r>
        <w:rPr>
          <w:b/>
          <w:bCs/>
        </w:rPr>
        <w:t xml:space="preserve">Neue Architektenaufgaben.</w:t>
      </w:r>
      <w:r>
        <w:t xml:space="preserve"> </w:t>
      </w:r>
      <w:r>
        <w:t xml:space="preserve">Neben den klassischen FA/NFA gehört künftig das Setzen von „Pflöcken” (Rahmenbedingungen/Guardrails für die KI) dazu — sowie die laufende Überwachung, dass diese Richtlinien eingehalten werden. Dafür kann ein zweites LLM unterstützen (vgl. adversariales Review, §14.5).</w:t>
      </w:r>
    </w:p>
    <w:p>
      <w:pPr>
        <w:pStyle w:val="Compact"/>
        <w:numPr>
          <w:ilvl w:val="0"/>
          <w:numId w:val="1013"/>
        </w:numPr>
      </w:pPr>
      <w:r>
        <w:rPr>
          <w:b/>
          <w:bCs/>
        </w:rPr>
        <w:t xml:space="preserve">Review-Disziplin unter Druck.</w:t>
      </w:r>
      <w:r>
        <w:t xml:space="preserve"> </w:t>
      </w:r>
      <w:r>
        <w:t xml:space="preserve">Bei sehr grossen Diffs (vor allem im Frontend) stiess das manuelle Review an seine Grenzen — die Tragweite war allein im Review kaum noch erfassbar. Konsequenz: Issues müssen kleiner werden und automatisierte Tests gewinnen weiter an Bedeutung, sonst geht der Überblick verloren.</w:t>
      </w:r>
    </w:p>
    <w:bookmarkEnd w:id="101"/>
    <w:bookmarkStart w:id="102" w:name="X9bc5b362477da63c6898f314fee5bd3535fe289"/>
    <w:p>
      <w:pPr>
        <w:pStyle w:val="Heading3"/>
      </w:pPr>
      <w:r>
        <w:t xml:space="preserve">14.7 Konkrete Beispiele — akzeptiert und korrigiert</w:t>
      </w:r>
    </w:p>
    <w:p>
      <w:pPr>
        <w:pStyle w:val="FirstParagraph"/>
      </w:pPr>
      <w:r>
        <w:t xml:space="preserve">Ergänzend zu den Vetos (§14.1–14.3) zeigen zwei belegte Situationen den Umgang mit KI-Vorschlägen:</w:t>
      </w:r>
    </w:p>
    <w:p>
      <w:pPr>
        <w:pStyle w:val="Compact"/>
        <w:numPr>
          <w:ilvl w:val="0"/>
          <w:numId w:val="1014"/>
        </w:numPr>
      </w:pPr>
      <w:r>
        <w:rPr>
          <w:b/>
          <w:bCs/>
        </w:rPr>
        <w:t xml:space="preserve">Akzeptiert — strukturierter LLM-Output statt selbstgebautem Parser.</w:t>
      </w:r>
      <w:r>
        <w:t xml:space="preserve"> </w:t>
      </w:r>
      <w:r>
        <w:t xml:space="preserve">Für die KI-Match-Analyse schlug die KI vor, die LLM-Antwort nicht als Text zu parsen, sondern über Spring AI direkt in ein typisiertes Java-Objekt zu mappen (</w:t>
      </w:r>
      <w:r>
        <w:rPr>
          <w:rStyle w:val="VerbatimChar"/>
        </w:rPr>
        <w:t xml:space="preserve">ChatClient….entity(MatchAnalysisResult.class)</w:t>
      </w:r>
      <w:r>
        <w:t xml:space="preserve">). Der Vorschlag wurde unverändert übernommen: Er macht den fragilen String-Parser überflüssig und erzwingt die Antwortstruktur (begründet in ADR-10). → Commit</w:t>
      </w:r>
      <w:r>
        <w:t xml:space="preserve"> </w:t>
      </w:r>
      <w:r>
        <w:rPr>
          <w:rStyle w:val="VerbatimChar"/>
        </w:rPr>
        <w:t xml:space="preserve">e02ee0b</w:t>
      </w:r>
      <w:r>
        <w:t xml:space="preserve"> </w:t>
      </w:r>
      <w:r>
        <w:t xml:space="preserve">(</w:t>
      </w:r>
      <w:r>
        <w:rPr>
          <w:rStyle w:val="VerbatimChar"/>
        </w:rPr>
        <w:t xml:space="preserve">OpenAiLlmAdapter.java</w:t>
      </w:r>
      <w:r>
        <w:t xml:space="preserve">).</w:t>
      </w:r>
    </w:p>
    <w:p>
      <w:pPr>
        <w:pStyle w:val="Compact"/>
        <w:numPr>
          <w:ilvl w:val="0"/>
          <w:numId w:val="1014"/>
        </w:numPr>
      </w:pPr>
      <w:r>
        <w:rPr>
          <w:b/>
          <w:bCs/>
        </w:rPr>
        <w:t xml:space="preserve">Korrigiert — NullPointer in der Statistik.</w:t>
      </w:r>
      <w:r>
        <w:t xml:space="preserve"> </w:t>
      </w:r>
      <w:r>
        <w:t xml:space="preserve">Der generierte</w:t>
      </w:r>
      <w:r>
        <w:t xml:space="preserve"> </w:t>
      </w:r>
      <w:r>
        <w:rPr>
          <w:rStyle w:val="VerbatimChar"/>
        </w:rPr>
        <w:t xml:space="preserve">MatchStatisticsService</w:t>
      </w:r>
      <w:r>
        <w:t xml:space="preserve"> </w:t>
      </w:r>
      <w:r>
        <w:t xml:space="preserve">griff beim Iterieren über alle Punkte auf</w:t>
      </w:r>
      <w:r>
        <w:t xml:space="preserve"> </w:t>
      </w:r>
      <w:r>
        <w:rPr>
          <w:rStyle w:val="VerbatimChar"/>
        </w:rPr>
        <w:t xml:space="preserve">pointType</w:t>
      </w:r>
      <w:r>
        <w:t xml:space="preserve"> </w:t>
      </w:r>
      <w:r>
        <w:t xml:space="preserve">zu. Die später eingeführten „Quick-Points” (schnelle Punkterfassung ohne Attribut, vgl. FA-06) haben aber keinen</w:t>
      </w:r>
      <w:r>
        <w:t xml:space="preserve"> </w:t>
      </w:r>
      <w:r>
        <w:rPr>
          <w:rStyle w:val="VerbatimChar"/>
        </w:rPr>
        <w:t xml:space="preserve">pointType</w:t>
      </w:r>
      <w:r>
        <w:t xml:space="preserve"> </w:t>
      </w:r>
      <w:r>
        <w:t xml:space="preserve">→ NullPointerException. Korrektur: Guard-Klausel (solche Punkte zählen nur zum Stand und überspringen die Attribution) plus Regressionstest. → Commit</w:t>
      </w:r>
      <w:r>
        <w:t xml:space="preserve"> </w:t>
      </w:r>
      <w:r>
        <w:rPr>
          <w:rStyle w:val="VerbatimChar"/>
        </w:rPr>
        <w:t xml:space="preserve">9e35106</w:t>
      </w:r>
      <w:r>
        <w:t xml:space="preserve"> </w:t>
      </w:r>
      <w:r>
        <w:t xml:space="preserve">(+6 Zeilen Service, +17 Zeilen Test).</w:t>
      </w:r>
    </w:p>
    <w:bookmarkEnd w:id="102"/>
    <w:bookmarkStart w:id="103" w:name="X228c99141e3591c9d8a0034df91e972dbbedc13"/>
    <w:p>
      <w:pPr>
        <w:pStyle w:val="Heading3"/>
      </w:pPr>
      <w:r>
        <w:t xml:space="preserve">14.8 Geeignete und kritische Projekte für den KI-Einsatz</w:t>
      </w:r>
    </w:p>
    <w:p>
      <w:pPr>
        <w:pStyle w:val="FirstParagraph"/>
      </w:pPr>
      <w:r>
        <w:t xml:space="preserve">KI ist ein mächtiges Werkzeug für Implementierung und Architekturfindung, hat aber klare Grenzen. Besonders wirksam ist sie bei Projekten mit etabliertem,</w:t>
      </w:r>
      <w:r>
        <w:t xml:space="preserve"> </w:t>
      </w:r>
      <w:r>
        <w:t xml:space="preserve">gut dokumentiertem Tech-Stack und klar umrissenen, in kleine Tickets zerlegten Aufgaben. Zurückhaltender wäre ich in zwei Fällen:</w:t>
      </w:r>
    </w:p>
    <w:p>
      <w:pPr>
        <w:pStyle w:val="Compact"/>
        <w:numPr>
          <w:ilvl w:val="0"/>
          <w:numId w:val="1015"/>
        </w:numPr>
      </w:pPr>
      <w:r>
        <w:rPr>
          <w:b/>
          <w:bCs/>
        </w:rPr>
        <w:t xml:space="preserve">Reguliertes Umfeld.</w:t>
      </w:r>
      <w:r>
        <w:t xml:space="preserve"> </w:t>
      </w:r>
      <w:r>
        <w:t xml:space="preserve">In der höchsten Kritikalitätsstufe („Fehlverhalten gefährdet Menschenleben” — Medizintechnik, Maschinensteuerungen) würde ich KI nur mit sehr strikten Guards und lückenloser menschlicher Verifikation einsetzen.</w:t>
      </w:r>
    </w:p>
    <w:p>
      <w:pPr>
        <w:pStyle w:val="Compact"/>
        <w:numPr>
          <w:ilvl w:val="0"/>
          <w:numId w:val="1015"/>
        </w:numPr>
      </w:pPr>
      <w:r>
        <w:rPr>
          <w:b/>
          <w:bCs/>
        </w:rPr>
        <w:t xml:space="preserve">Exotischer Tech-Stack oder brandneue Versionen.</w:t>
      </w:r>
      <w:r>
        <w:t xml:space="preserve"> </w:t>
      </w:r>
      <w:r>
        <w:t xml:space="preserve">Direkt nach dem Release von Spring Boot 4 kam die KI mit der neuen Version noch nicht zurecht und wich auf die ältere aus. Erst Wochen später gelang die Migration. Bei wenig verbreiteten Frameworks fehlt der KI schlicht die Datenbasis. Hier ist mehr manuelle Führung nötig.</w:t>
      </w:r>
    </w:p>
    <w:bookmarkEnd w:id="103"/>
    <w:bookmarkStart w:id="104" w:name="gefahren-und-offene-fragen"/>
    <w:p>
      <w:pPr>
        <w:pStyle w:val="Heading3"/>
      </w:pPr>
      <w:r>
        <w:t xml:space="preserve">14.9 Gefahren und offene Fragen</w:t>
      </w:r>
    </w:p>
    <w:p>
      <w:pPr>
        <w:pStyle w:val="Compact"/>
        <w:numPr>
          <w:ilvl w:val="0"/>
          <w:numId w:val="1016"/>
        </w:numPr>
      </w:pPr>
      <w:r>
        <w:rPr>
          <w:b/>
          <w:bCs/>
        </w:rPr>
        <w:t xml:space="preserve">Kompetenzaufbau.</w:t>
      </w:r>
      <w:r>
        <w:t xml:space="preserve"> </w:t>
      </w:r>
      <w:r>
        <w:t xml:space="preserve">Unerfahrene Entwickler setzen Tickets mit KI schneller um, aber nicht zwangsläufig besser da sie noch nicht über das Wissen verfügen was gut oder weniger gut ist. Dir Frage für die Zukunft lautet</w:t>
      </w:r>
      <w:r>
        <w:t xml:space="preserve"> </w:t>
      </w:r>
      <w:r>
        <w:t xml:space="preserve">“Wie bilden wir Juniors zu Seniors aus, wenn weniger Code selbst geschrieben wird?”</w:t>
      </w:r>
      <w:r>
        <w:t xml:space="preserve"> </w:t>
      </w:r>
      <w:r>
        <w:t xml:space="preserve">Müssen sie künftig nur noch Code lesen können oder genügt das alleinige Verständnis für einen guten Aufbau, für gute Tickets und Architektur-Trade-offs zu entscheiden?</w:t>
      </w:r>
    </w:p>
    <w:p>
      <w:pPr>
        <w:pStyle w:val="Compact"/>
        <w:numPr>
          <w:ilvl w:val="0"/>
          <w:numId w:val="1016"/>
        </w:numPr>
      </w:pPr>
      <w:r>
        <w:rPr>
          <w:b/>
          <w:bCs/>
        </w:rPr>
        <w:t xml:space="preserve">Kontrollverlust.</w:t>
      </w:r>
      <w:r>
        <w:t xml:space="preserve"> </w:t>
      </w:r>
      <w:r>
        <w:t xml:space="preserve">Das Gefühl „das ist mein Code” schwindet. Bleibt die KI stecken, wird die manuelle Fehlersuche aufwendiger, weil man sich erst in den generierten Code einarbeiten muss. Evt. kommt hier dann in Zukunft auch KI (anderes LLM) zum Einsatz was das Gefühl dann noch verstärkt.</w:t>
      </w:r>
    </w:p>
    <w:p>
      <w:pPr>
        <w:pStyle w:val="Compact"/>
        <w:numPr>
          <w:ilvl w:val="0"/>
          <w:numId w:val="1016"/>
        </w:numPr>
      </w:pPr>
      <w:r>
        <w:rPr>
          <w:b/>
          <w:bCs/>
        </w:rPr>
        <w:t xml:space="preserve">Ethik und Regulatorik.</w:t>
      </w:r>
      <w:r>
        <w:t xml:space="preserve"> </w:t>
      </w:r>
      <w:r>
        <w:t xml:space="preserve">Wie weit darf KI in stark regulierten oder sicherheitskritischen Bereichen eingesetzt werden, und wie gehen wir mit den gesellschaftlichen Folgen um (Entscheidungshoheit, Überwachung, wegfallende Tätigkeiten)? Diese Fragen bleiben bewusst über den Projektrahmen hinaus offen.</w:t>
      </w:r>
    </w:p>
    <w:p>
      <w:pPr>
        <w:pStyle w:val="Compact"/>
        <w:numPr>
          <w:ilvl w:val="0"/>
          <w:numId w:val="1016"/>
        </w:numPr>
      </w:pPr>
      <w:r>
        <w:rPr>
          <w:b/>
          <w:bCs/>
        </w:rPr>
        <w:t xml:space="preserve">Arbeitsplatzverlust, Wertschätzung.</w:t>
      </w:r>
      <w:r>
        <w:t xml:space="preserve"> </w:t>
      </w:r>
      <w:r>
        <w:t xml:space="preserve">Wozu brauche ich noch einen teuren SW-Ingenieur/Architekten. Ich lasse die KI schreiben die ist schneller und billiger. Die Architektur interessiert mich nicht ich will Ergebnisse. Solchen Manager-Gedanken werden wir uns stellen müssen, wie es Berichten aus den Medien bereits zeigen.</w:t>
      </w:r>
    </w:p>
    <w:bookmarkEnd w:id="104"/>
    <w:bookmarkStart w:id="105" w:name="fazit"/>
    <w:p>
      <w:pPr>
        <w:pStyle w:val="Heading3"/>
      </w:pPr>
      <w:r>
        <w:t xml:space="preserve">14.10 Fazit</w:t>
      </w:r>
    </w:p>
    <w:p>
      <w:pPr>
        <w:pStyle w:val="FirstParagraph"/>
      </w:pPr>
      <w:r>
        <w:t xml:space="preserve">KI wird aus der Softwareentwicklung nicht mehr wegzudenken sein und bald so selbstverständlich genutzt werden wie heute die Code-Completion in der IDE.</w:t>
      </w:r>
      <w:r>
        <w:t xml:space="preserve"> </w:t>
      </w:r>
      <w:r>
        <w:t xml:space="preserve">Software-Ingenieure bleiben nötig, aber ihre Arbeit verschiebt sich: weg vom reinen Codieren, hin zu Dokumentation, präziser Ticket-Formulierung und Architekturentscheidungen.</w:t>
      </w:r>
      <w:r>
        <w:t xml:space="preserve"> </w:t>
      </w:r>
      <w:r>
        <w:t xml:space="preserve">Für dieses Projekt hat sich die Kombination aus solider Vorarbeit (SAD,</w:t>
      </w:r>
      <w:r>
        <w:t xml:space="preserve"> </w:t>
      </w:r>
      <w:r>
        <w:rPr>
          <w:rStyle w:val="VerbatimChar"/>
        </w:rPr>
        <w:t xml:space="preserve">CLAUDE.md</w:t>
      </w:r>
      <w:r>
        <w:t xml:space="preserve">), klar delegierbaren Aufgaben und konsequent menschlicher Verifikation der kritischen Teile bewährt.</w:t>
      </w:r>
    </w:p>
    <w:p>
      <w:r>
        <w:pict>
          <v:rect style="width:0;height:1.5pt" o:hralign="center" o:hrstd="t" o:hr="t"/>
        </w:pict>
      </w:r>
    </w:p>
    <w:bookmarkEnd w:id="105"/>
    <w:bookmarkEnd w:id="106"/>
    <w:bookmarkStart w:id="107" w:name="glossar"/>
    <w:p>
      <w:pPr>
        <w:pStyle w:val="Heading2"/>
      </w:pPr>
      <w:r>
        <w:t xml:space="preserve">15. Glossar</w:t>
      </w:r>
    </w:p>
    <w:tbl>
      <w:tblPr>
        <w:tblStyle w:val="Table"/>
        <w:tblW w:type="pct" w:w="5000"/>
        <w:tblLayout w:type="fixed"/>
        <w:tblLook w:firstRow="1" w:lastRow="0" w:firstColumn="0" w:lastColumn="0" w:noHBand="0" w:noVBand="0" w:val="0020"/>
      </w:tblPr>
      <w:tblGrid>
        <w:gridCol w:w="3564"/>
        <w:gridCol w:w="4356"/>
      </w:tblGrid>
      <w:tr>
        <w:trPr>
          <w:tblHeader w:val="on"/>
        </w:trPr>
        <w:tc>
          <w:tcPr/>
          <w:p>
            <w:pPr>
              <w:pStyle w:val="Compact"/>
            </w:pPr>
            <w:r>
              <w:t xml:space="preserve">Begriff</w:t>
            </w:r>
          </w:p>
        </w:tc>
        <w:tc>
          <w:tcPr/>
          <w:p>
            <w:pPr>
              <w:pStyle w:val="Compact"/>
            </w:pPr>
            <w:r>
              <w:t xml:space="preserve">Definition</w:t>
            </w:r>
          </w:p>
        </w:tc>
      </w:tr>
      <w:tr>
        <w:tc>
          <w:tcPr/>
          <w:p>
            <w:pPr>
              <w:pStyle w:val="Compact"/>
            </w:pPr>
            <w:r>
              <w:rPr>
                <w:b/>
                <w:bCs/>
              </w:rPr>
              <w:t xml:space="preserve">TSaS</w:t>
            </w:r>
          </w:p>
        </w:tc>
        <w:tc>
          <w:tcPr/>
          <w:p>
            <w:pPr>
              <w:pStyle w:val="Compact"/>
            </w:pPr>
            <w:r>
              <w:t xml:space="preserve">Tennis Score and Statistic – Name der Applikation</w:t>
            </w:r>
          </w:p>
        </w:tc>
      </w:tr>
      <w:tr>
        <w:tc>
          <w:tcPr/>
          <w:p>
            <w:pPr>
              <w:pStyle w:val="Compact"/>
            </w:pPr>
            <w:r>
              <w:rPr>
                <w:b/>
                <w:bCs/>
              </w:rPr>
              <w:t xml:space="preserve">MVP</w:t>
            </w:r>
          </w:p>
        </w:tc>
        <w:tc>
          <w:tcPr/>
          <w:p>
            <w:pPr>
              <w:pStyle w:val="Compact"/>
            </w:pPr>
            <w:r>
              <w:t xml:space="preserve">Minimum Viable Product – erste lauffähige Version mit Kernfunktionalität</w:t>
            </w:r>
          </w:p>
        </w:tc>
      </w:tr>
      <w:tr>
        <w:tc>
          <w:tcPr/>
          <w:p>
            <w:pPr>
              <w:pStyle w:val="Compact"/>
            </w:pPr>
            <w:r>
              <w:rPr>
                <w:b/>
                <w:bCs/>
              </w:rPr>
              <w:t xml:space="preserve">Modularer Monolith</w:t>
            </w:r>
          </w:p>
        </w:tc>
        <w:tc>
          <w:tcPr/>
          <w:p>
            <w:pPr>
              <w:pStyle w:val="Compact"/>
            </w:pPr>
            <w:r>
              <w:t xml:space="preserve">Eine deploybare Einheit, intern in lose gekoppelte Module aufgeteilt</w:t>
            </w:r>
          </w:p>
        </w:tc>
      </w:tr>
      <w:tr>
        <w:tc>
          <w:tcPr/>
          <w:p>
            <w:pPr>
              <w:pStyle w:val="Compact"/>
            </w:pPr>
            <w:r>
              <w:rPr>
                <w:b/>
                <w:bCs/>
              </w:rPr>
              <w:t xml:space="preserve">Clean Architecture</w:t>
            </w:r>
          </w:p>
        </w:tc>
        <w:tc>
          <w:tcPr/>
          <w:p>
            <w:pPr>
              <w:pStyle w:val="Compact"/>
            </w:pPr>
            <w:r>
              <w:t xml:space="preserve">Abhängigkeiten zeigen von aussen (Infrastruktur/Adapter) nach innen (Domain); die Domäne ist framework-frei</w:t>
            </w:r>
          </w:p>
        </w:tc>
      </w:tr>
      <w:tr>
        <w:tc>
          <w:tcPr/>
          <w:p>
            <w:pPr>
              <w:pStyle w:val="Compact"/>
            </w:pPr>
            <w:r>
              <w:rPr>
                <w:b/>
                <w:bCs/>
              </w:rPr>
              <w:t xml:space="preserve">OIDC</w:t>
            </w:r>
          </w:p>
        </w:tc>
        <w:tc>
          <w:tcPr/>
          <w:p>
            <w:pPr>
              <w:pStyle w:val="Compact"/>
            </w:pPr>
            <w:r>
              <w:t xml:space="preserve">OpenID Connect – Authentifizierungsschicht auf OAuth2</w:t>
            </w:r>
          </w:p>
        </w:tc>
      </w:tr>
      <w:tr>
        <w:tc>
          <w:tcPr/>
          <w:p>
            <w:pPr>
              <w:pStyle w:val="Compact"/>
            </w:pPr>
            <w:r>
              <w:rPr>
                <w:b/>
                <w:bCs/>
              </w:rPr>
              <w:t xml:space="preserve">OAuth2</w:t>
            </w:r>
          </w:p>
        </w:tc>
        <w:tc>
          <w:tcPr/>
          <w:p>
            <w:pPr>
              <w:pStyle w:val="Compact"/>
            </w:pPr>
            <w:r>
              <w:t xml:space="preserve">Autorisierungsframework für delegierte Zugriffsrechte</w:t>
            </w:r>
          </w:p>
        </w:tc>
      </w:tr>
      <w:tr>
        <w:tc>
          <w:tcPr/>
          <w:p>
            <w:pPr>
              <w:pStyle w:val="Compact"/>
            </w:pPr>
            <w:r>
              <w:rPr>
                <w:b/>
                <w:bCs/>
              </w:rPr>
              <w:t xml:space="preserve">PKCE</w:t>
            </w:r>
          </w:p>
        </w:tc>
        <w:tc>
          <w:tcPr/>
          <w:p>
            <w:pPr>
              <w:pStyle w:val="Compact"/>
            </w:pPr>
            <w:r>
              <w:t xml:space="preserve">Proof Key for Code Exchange – Sicherheitserweiterung für den OAuth2 Authorization Code Flow</w:t>
            </w:r>
          </w:p>
        </w:tc>
      </w:tr>
      <w:tr>
        <w:tc>
          <w:tcPr/>
          <w:p>
            <w:pPr>
              <w:pStyle w:val="Compact"/>
            </w:pPr>
            <w:r>
              <w:rPr>
                <w:b/>
                <w:bCs/>
              </w:rPr>
              <w:t xml:space="preserve">IDP</w:t>
            </w:r>
          </w:p>
        </w:tc>
        <w:tc>
          <w:tcPr/>
          <w:p>
            <w:pPr>
              <w:pStyle w:val="Compact"/>
            </w:pPr>
            <w:r>
              <w:t xml:space="preserve">Identity Provider – verwaltet und verifiziert Benutzeridentitäten</w:t>
            </w:r>
          </w:p>
        </w:tc>
      </w:tr>
      <w:tr>
        <w:tc>
          <w:tcPr/>
          <w:p>
            <w:pPr>
              <w:pStyle w:val="Compact"/>
            </w:pPr>
            <w:r>
              <w:rPr>
                <w:b/>
                <w:bCs/>
              </w:rPr>
              <w:t xml:space="preserve">Keycloak</w:t>
            </w:r>
          </w:p>
        </w:tc>
        <w:tc>
          <w:tcPr/>
          <w:p>
            <w:pPr>
              <w:pStyle w:val="Compact"/>
            </w:pPr>
            <w:r>
              <w:t xml:space="preserve">Open-Source Identity- und Access-Management von Red Hat</w:t>
            </w:r>
          </w:p>
        </w:tc>
      </w:tr>
      <w:tr>
        <w:tc>
          <w:tcPr/>
          <w:p>
            <w:pPr>
              <w:pStyle w:val="Compact"/>
            </w:pPr>
            <w:r>
              <w:rPr>
                <w:b/>
                <w:bCs/>
              </w:rPr>
              <w:t xml:space="preserve">Head-to-Head</w:t>
            </w:r>
          </w:p>
        </w:tc>
        <w:tc>
          <w:tcPr/>
          <w:p>
            <w:pPr>
              <w:pStyle w:val="Compact"/>
            </w:pPr>
            <w:r>
              <w:t xml:space="preserve">Direktvergleich der Statistiken zweier Spieler über alle Begegnungen</w:t>
            </w:r>
          </w:p>
        </w:tc>
      </w:tr>
      <w:tr>
        <w:tc>
          <w:tcPr/>
          <w:p>
            <w:pPr>
              <w:pStyle w:val="Compact"/>
            </w:pPr>
            <w:r>
              <w:rPr>
                <w:b/>
                <w:bCs/>
              </w:rPr>
              <w:t xml:space="preserve">Winner</w:t>
            </w:r>
          </w:p>
        </w:tc>
        <w:tc>
          <w:tcPr/>
          <w:p>
            <w:pPr>
              <w:pStyle w:val="Compact"/>
            </w:pPr>
            <w:r>
              <w:t xml:space="preserve">Schlag, der direkt zum Punktgewinn führt, ohne Gegnerberührung</w:t>
            </w:r>
          </w:p>
        </w:tc>
      </w:tr>
      <w:tr>
        <w:tc>
          <w:tcPr/>
          <w:p>
            <w:pPr>
              <w:pStyle w:val="Compact"/>
            </w:pPr>
            <w:r>
              <w:rPr>
                <w:b/>
                <w:bCs/>
              </w:rPr>
              <w:t xml:space="preserve">Unforced Error</w:t>
            </w:r>
          </w:p>
        </w:tc>
        <w:tc>
          <w:tcPr/>
          <w:p>
            <w:pPr>
              <w:pStyle w:val="Compact"/>
            </w:pPr>
            <w:r>
              <w:t xml:space="preserve">Fehler ohne Druckeinwirkung des Gegners</w:t>
            </w:r>
          </w:p>
        </w:tc>
      </w:tr>
      <w:tr>
        <w:tc>
          <w:tcPr/>
          <w:p>
            <w:pPr>
              <w:pStyle w:val="Compact"/>
            </w:pPr>
            <w:r>
              <w:rPr>
                <w:b/>
                <w:bCs/>
              </w:rPr>
              <w:t xml:space="preserve">Ace</w:t>
            </w:r>
          </w:p>
        </w:tc>
        <w:tc>
          <w:tcPr/>
          <w:p>
            <w:pPr>
              <w:pStyle w:val="Compact"/>
            </w:pPr>
            <w:r>
              <w:t xml:space="preserve">Aufschlag, den der Gegner nicht berühren kann</w:t>
            </w:r>
          </w:p>
        </w:tc>
      </w:tr>
      <w:tr>
        <w:tc>
          <w:tcPr/>
          <w:p>
            <w:pPr>
              <w:pStyle w:val="Compact"/>
            </w:pPr>
            <w:r>
              <w:rPr>
                <w:b/>
                <w:bCs/>
              </w:rPr>
              <w:t xml:space="preserve">Double Fault</w:t>
            </w:r>
          </w:p>
        </w:tc>
        <w:tc>
          <w:tcPr/>
          <w:p>
            <w:pPr>
              <w:pStyle w:val="Compact"/>
            </w:pPr>
            <w:r>
              <w:t xml:space="preserve">Zwei aufeinanderfolgende Aufschlagfehler → Punktverlust</w:t>
            </w:r>
          </w:p>
        </w:tc>
      </w:tr>
      <w:tr>
        <w:tc>
          <w:tcPr/>
          <w:p>
            <w:pPr>
              <w:pStyle w:val="Compact"/>
            </w:pPr>
            <w:r>
              <w:rPr>
                <w:b/>
                <w:bCs/>
              </w:rPr>
              <w:t xml:space="preserve">Tiebreak</w:t>
            </w:r>
          </w:p>
        </w:tc>
        <w:tc>
          <w:tcPr/>
          <w:p>
            <w:pPr>
              <w:pStyle w:val="Compact"/>
            </w:pPr>
            <w:r>
              <w:t xml:space="preserve">Entscheidungsspiel bei Satzgleichstand (meist 6:6)</w:t>
            </w:r>
          </w:p>
        </w:tc>
      </w:tr>
      <w:tr>
        <w:tc>
          <w:tcPr/>
          <w:p>
            <w:pPr>
              <w:pStyle w:val="Compact"/>
            </w:pPr>
            <w:r>
              <w:rPr>
                <w:b/>
                <w:bCs/>
              </w:rPr>
              <w:t xml:space="preserve">Match-Tiebreak</w:t>
            </w:r>
          </w:p>
        </w:tc>
        <w:tc>
          <w:tcPr/>
          <w:p>
            <w:pPr>
              <w:pStyle w:val="Compact"/>
            </w:pPr>
            <w:r>
              <w:t xml:space="preserve">Verkürzter Entscheidungssatz (Tiebreak bis 10 Punkte)</w:t>
            </w:r>
          </w:p>
        </w:tc>
      </w:tr>
      <w:tr>
        <w:tc>
          <w:tcPr/>
          <w:p>
            <w:pPr>
              <w:pStyle w:val="Compact"/>
            </w:pPr>
            <w:r>
              <w:rPr>
                <w:b/>
                <w:bCs/>
              </w:rPr>
              <w:t xml:space="preserve">Short Set</w:t>
            </w:r>
          </w:p>
        </w:tc>
        <w:tc>
          <w:tcPr/>
          <w:p>
            <w:pPr>
              <w:pStyle w:val="Compact"/>
            </w:pPr>
            <w:r>
              <w:t xml:space="preserve">Verkürzter Satz bis 4 statt 6 Games</w:t>
            </w:r>
          </w:p>
        </w:tc>
      </w:tr>
    </w:tbl>
    <w:bookmarkEnd w:id="107"/>
    <w:bookmarkEnd w:id="10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de-DE"/>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38" Target="media/rId38.png" /><Relationship Type="http://schemas.openxmlformats.org/officeDocument/2006/relationships/image" Id="rId33" Target="media/rId33.png" /><Relationship Type="http://schemas.openxmlformats.org/officeDocument/2006/relationships/image" Id="rId85" Target="media/rId85.png" /><Relationship Type="http://schemas.openxmlformats.org/officeDocument/2006/relationships/image" Id="rId60" Target="media/rId60.png" /><Relationship Type="http://schemas.openxmlformats.org/officeDocument/2006/relationships/image" Id="rId17" Target="media/rId17.png" /><Relationship Type="http://schemas.openxmlformats.org/officeDocument/2006/relationships/image" Id="rId54" Target="media/rId54.png" /><Relationship Type="http://schemas.openxmlformats.org/officeDocument/2006/relationships/image" Id="rId49" Target="media/rId49.png" /><Relationship Type="http://schemas.openxmlformats.org/officeDocument/2006/relationships/image" Id="rId44" Target="media/rId44.png" /><Relationship Type="http://schemas.openxmlformats.org/officeDocument/2006/relationships/image" Id="rId28" Target="media/rId28.png" /><Relationship Type="http://schemas.openxmlformats.org/officeDocument/2006/relationships/hyperlink" Id="rId41" Target="diagrams/TSaS_Backend_CleanArchitecture.drawio" TargetMode="External" /><Relationship Type="http://schemas.openxmlformats.org/officeDocument/2006/relationships/hyperlink" Id="rId36" Target="diagrams/TSaS_Backend_Module.drawio" TargetMode="External" /><Relationship Type="http://schemas.openxmlformats.org/officeDocument/2006/relationships/hyperlink" Id="rId88" Target="diagrams/TSaS_Datenmodell.drawio" TargetMode="External" /><Relationship Type="http://schemas.openxmlformats.org/officeDocument/2006/relationships/hyperlink" Id="rId63" Target="diagrams/TSaS_Deployment.drawio" TargetMode="External" /><Relationship Type="http://schemas.openxmlformats.org/officeDocument/2006/relationships/hyperlink" Id="rId20" Target="diagrams/TSaS_Fachlicher_Kontext.drawio" TargetMode="External" /><Relationship Type="http://schemas.openxmlformats.org/officeDocument/2006/relationships/hyperlink" Id="rId57" Target="diagrams/TSaS_Seq_Authentication.puml" TargetMode="External" /><Relationship Type="http://schemas.openxmlformats.org/officeDocument/2006/relationships/hyperlink" Id="rId52" Target="diagrams/TSaS_Seq_GenerateAnalysis.puml" TargetMode="External" /><Relationship Type="http://schemas.openxmlformats.org/officeDocument/2006/relationships/hyperlink" Id="rId47" Target="diagrams/TSaS_Seq_RecordPoint.puml" TargetMode="External" /><Relationship Type="http://schemas.openxmlformats.org/officeDocument/2006/relationships/hyperlink" Id="rId31" Target="diagrams/TSaS_Whitebox_Gesamtsystem.drawio" TargetMode="External" /></Relationships>
</file>

<file path=word/_rels/footnotes.xml.rels><?xml version="1.0" encoding="UTF-8"?><Relationships xmlns="http://schemas.openxmlformats.org/package/2006/relationships"><Relationship Type="http://schemas.openxmlformats.org/officeDocument/2006/relationships/hyperlink" Id="rId41" Target="diagrams/TSaS_Backend_CleanArchitecture.drawio" TargetMode="External" /><Relationship Type="http://schemas.openxmlformats.org/officeDocument/2006/relationships/hyperlink" Id="rId36" Target="diagrams/TSaS_Backend_Module.drawio" TargetMode="External" /><Relationship Type="http://schemas.openxmlformats.org/officeDocument/2006/relationships/hyperlink" Id="rId88" Target="diagrams/TSaS_Datenmodell.drawio" TargetMode="External" /><Relationship Type="http://schemas.openxmlformats.org/officeDocument/2006/relationships/hyperlink" Id="rId63" Target="diagrams/TSaS_Deployment.drawio" TargetMode="External" /><Relationship Type="http://schemas.openxmlformats.org/officeDocument/2006/relationships/hyperlink" Id="rId20" Target="diagrams/TSaS_Fachlicher_Kontext.drawio" TargetMode="External" /><Relationship Type="http://schemas.openxmlformats.org/officeDocument/2006/relationships/hyperlink" Id="rId57" Target="diagrams/TSaS_Seq_Authentication.puml" TargetMode="External" /><Relationship Type="http://schemas.openxmlformats.org/officeDocument/2006/relationships/hyperlink" Id="rId52" Target="diagrams/TSaS_Seq_GenerateAnalysis.puml" TargetMode="External" /><Relationship Type="http://schemas.openxmlformats.org/officeDocument/2006/relationships/hyperlink" Id="rId47" Target="diagrams/TSaS_Seq_RecordPoint.puml" TargetMode="External" /><Relationship Type="http://schemas.openxmlformats.org/officeDocument/2006/relationships/hyperlink" Id="rId31" Target="diagrams/TSaS_Whitebox_Gesamtsystem.drawio"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Helvetica"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Helvetica"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de-DE</dc:language>
  <cp:keywords/>
  <dcterms:created xsi:type="dcterms:W3CDTF">2026-07-03T19:22:34Z</dcterms:created>
  <dcterms:modified xsi:type="dcterms:W3CDTF">2026-07-03T19:22:34Z</dcterms:modified>
</cp:coreProperties>
</file>

<file path=docProps/custom.xml><?xml version="1.0" encoding="utf-8"?>
<Properties xmlns="http://schemas.openxmlformats.org/officeDocument/2006/custom-properties" xmlns:vt="http://schemas.openxmlformats.org/officeDocument/2006/docPropsVTypes"/>
</file>