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9.png" ContentType="image/png"/>
  <Override PartName="/word/media/rId75.png" ContentType="image/png"/>
  <Override PartName="/word/media/rId52.png" ContentType="image/png"/>
  <Override PartName="/word/media/rId17.png" ContentType="image/png"/>
  <Override PartName="/word/media/rId45.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8e4ebc2e1f4eb088d047a6684ad88a5c65a2b31"/>
    <w:p>
      <w:pPr>
        <w:pStyle w:val="Heading1"/>
      </w:pPr>
      <w:r>
        <w:t xml:space="preserve">Software Architecture Document – Tennis Score and Statistic (TSaS)</w:t>
      </w:r>
    </w:p>
    <w:p>
      <w:pPr>
        <w:pStyle w:val="FirstParagraph"/>
      </w:pPr>
      <w:r>
        <w:rPr>
          <w:i/>
          <w:iCs/>
        </w:rPr>
        <w:t xml:space="preserve">nach arc42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Feld</w:t>
            </w:r>
          </w:p>
        </w:tc>
        <w:tc>
          <w:tcPr/>
          <w:p>
            <w:pPr>
              <w:pStyle w:val="Compact"/>
            </w:pPr>
            <w:r>
              <w:t xml:space="preserve">Wert</w:t>
            </w:r>
          </w:p>
        </w:tc>
      </w:tr>
      <w:tr>
        <w:tc>
          <w:tcPr/>
          <w:p>
            <w:pPr>
              <w:pStyle w:val="Compact"/>
            </w:pPr>
            <w:r>
              <w:rPr>
                <w:b/>
                <w:bCs/>
              </w:rPr>
              <w:t xml:space="preserve">Version</w:t>
            </w:r>
          </w:p>
        </w:tc>
        <w:tc>
          <w:tcPr/>
          <w:p>
            <w:pPr>
              <w:pStyle w:val="Compact"/>
            </w:pPr>
            <w:r>
              <w:t xml:space="preserve">1.0 – Erster Entwurf</w:t>
            </w:r>
          </w:p>
        </w:tc>
      </w:tr>
      <w:tr>
        <w:tc>
          <w:tcPr/>
          <w:p>
            <w:pPr>
              <w:pStyle w:val="Compact"/>
            </w:pPr>
            <w:r>
              <w:rPr>
                <w:b/>
                <w:bCs/>
              </w:rPr>
              <w:t xml:space="preserve">Datum</w:t>
            </w:r>
          </w:p>
        </w:tc>
        <w:tc>
          <w:tcPr/>
          <w:p>
            <w:pPr>
              <w:pStyle w:val="Compact"/>
            </w:pPr>
            <w:r>
              <w:t xml:space="preserve">06. März 2026</w:t>
            </w:r>
          </w:p>
        </w:tc>
      </w:tr>
      <w:tr>
        <w:tc>
          <w:tcPr/>
          <w:p>
            <w:pPr>
              <w:pStyle w:val="Compact"/>
            </w:pPr>
            <w:r>
              <w:rPr>
                <w:b/>
                <w:bCs/>
              </w:rPr>
              <w:t xml:space="preserve">Status</w:t>
            </w:r>
          </w:p>
        </w:tc>
        <w:tc>
          <w:tcPr/>
          <w:p>
            <w:pPr>
              <w:pStyle w:val="Compact"/>
            </w:pPr>
            <w:r>
              <w:t xml:space="preserve">ENTWURF</w:t>
            </w:r>
          </w:p>
        </w:tc>
      </w:tr>
      <w:tr>
        <w:tc>
          <w:tcPr/>
          <w:p>
            <w:pPr>
              <w:pStyle w:val="Compact"/>
            </w:pPr>
            <w:r>
              <w:rPr>
                <w:b/>
                <w:bCs/>
              </w:rPr>
              <w:t xml:space="preserve">Autor</w:t>
            </w:r>
          </w:p>
        </w:tc>
        <w:tc>
          <w:tcPr/>
          <w:p>
            <w:pPr>
              <w:pStyle w:val="Compact"/>
            </w:pPr>
            <w:r>
              <w:t xml:space="preserve">Christian Bonnhoff</w:t>
            </w:r>
          </w:p>
        </w:tc>
      </w:tr>
      <w:tr>
        <w:tc>
          <w:tcPr/>
          <w:p>
            <w:pPr>
              <w:pStyle w:val="Compact"/>
            </w:pPr>
            <w:r>
              <w:rPr>
                <w:b/>
                <w:bCs/>
              </w:rPr>
              <w:t xml:space="preserve">Klassifikation</w:t>
            </w:r>
          </w:p>
        </w:tc>
        <w:tc>
          <w:tcPr/>
          <w:p>
            <w:pPr>
              <w:pStyle w:val="Compact"/>
            </w:pPr>
            <w:r>
              <w:t xml:space="preserve">Intern</w:t>
            </w:r>
          </w:p>
        </w:tc>
      </w:tr>
    </w:tbl>
    <w:p>
      <w:r>
        <w:pict>
          <v:rect style="width:0;height:1.5pt" o:hralign="center" o:hrstd="t" o:hr="t"/>
        </w:pict>
      </w:r>
    </w:p>
    <w:sdt>
      <w:sdtPr>
        <w:docPartObj>
          <w:docPartGallery w:val="Inhaltsverzeichni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13" w:name="einführung-und-ziele"/>
    <w:p>
      <w:pPr>
        <w:pStyle w:val="Heading2"/>
      </w:pPr>
      <w:r>
        <w:t xml:space="preserve">1. Einführung und Ziele</w:t>
      </w:r>
    </w:p>
    <w:p>
      <w:pPr>
        <w:pStyle w:val="FirstParagraph"/>
      </w:pPr>
      <w:r>
        <w:t xml:space="preserve">Für die gezielte Vorbereitung auf ein Tennismatch fehlt derzeit eine geeignete Anwendung, welche es Eltern und Trainern ermöglicht, Statistiken und Informationen über die Spielweise und Eigenheiten des eigenen Spielers sowie des Gegners zu erfassen und auszuwerten.</w:t>
      </w:r>
    </w:p>
    <w:p>
      <w:pPr>
        <w:pStyle w:val="BodyText"/>
      </w:pPr>
      <w:r>
        <w:t xml:space="preserve">Diese Lücke soll die Anwendung Tennis Score and Statistic (TSaS) schliessen. Ziel ist die Entwicklung einer Web-App (später zusätzlich einer iOS-App), mit der Trainer oder Eltern ein Tennismatch Punkt für Punkt mit vordefinierten und frei definierbaren Angaben dokumentieren können.</w:t>
      </w:r>
    </w:p>
    <w:bookmarkStart w:id="9" w:name="aufgabenstellung"/>
    <w:p>
      <w:pPr>
        <w:pStyle w:val="Heading3"/>
      </w:pPr>
      <w:r>
        <w:t xml:space="preserve">1.1 Aufgabenstellung</w:t>
      </w:r>
    </w:p>
    <w:p>
      <w:pPr>
        <w:pStyle w:val="FirstParagraph"/>
      </w:pPr>
      <w:r>
        <w:t xml:space="preserve">TSaS soll eine webbasierte Applikation bereitstellen, mit der der aktuelle Spielstand eines Tennismatches festgehalten und jeder Punkt mit fixen Attributen dokumentiert werden kann. Zusätzlich sollen einfache statistische Auswertungen ermöglicht werden.</w:t>
      </w:r>
    </w:p>
    <w:bookmarkEnd w:id="9"/>
    <w:bookmarkStart w:id="10" w:name="qualitätsziele"/>
    <w:p>
      <w:pPr>
        <w:pStyle w:val="Heading3"/>
      </w:pPr>
      <w:r>
        <w:t xml:space="preserve">1.2 Qualitätsziele</w:t>
      </w:r>
    </w:p>
    <w:tbl>
      <w:tblPr>
        <w:tblStyle w:val="Table"/>
        <w:tblW w:type="pct" w:w="5000"/>
        <w:tblLayout w:type="fixed"/>
        <w:tblLook w:firstRow="1" w:lastRow="0" w:firstColumn="0" w:lastColumn="0" w:noHBand="0" w:noVBand="0" w:val="0020"/>
      </w:tblPr>
      <w:tblGrid>
        <w:gridCol w:w="646"/>
        <w:gridCol w:w="2424"/>
        <w:gridCol w:w="3071"/>
        <w:gridCol w:w="1777"/>
      </w:tblGrid>
      <w:tr>
        <w:trPr>
          <w:tblHeader w:val="on"/>
        </w:trPr>
        <w:tc>
          <w:tcPr/>
          <w:p>
            <w:pPr>
              <w:pStyle w:val="Compact"/>
            </w:pPr>
            <w:r>
              <w:t xml:space="preserve">ID</w:t>
            </w:r>
          </w:p>
        </w:tc>
        <w:tc>
          <w:tcPr/>
          <w:p>
            <w:pPr>
              <w:pStyle w:val="Compact"/>
            </w:pPr>
            <w:r>
              <w:t xml:space="preserve">Qualitätsziel</w:t>
            </w:r>
          </w:p>
        </w:tc>
        <w:tc>
          <w:tcPr/>
          <w:p>
            <w:pPr>
              <w:pStyle w:val="Compact"/>
            </w:pPr>
            <w:r>
              <w:t xml:space="preserve">Szenario (SMART)</w:t>
            </w:r>
          </w:p>
        </w:tc>
        <w:tc>
          <w:tcPr/>
          <w:p>
            <w:pPr>
              <w:pStyle w:val="Compact"/>
            </w:pPr>
            <w:r>
              <w:t xml:space="preserve">Priorität</w:t>
            </w:r>
          </w:p>
        </w:tc>
      </w:tr>
      <w:tr>
        <w:tc>
          <w:tcPr/>
          <w:p>
            <w:pPr>
              <w:pStyle w:val="Compact"/>
            </w:pPr>
            <w:r>
              <w:t xml:space="preserve">QZ-01</w:t>
            </w:r>
          </w:p>
        </w:tc>
        <w:tc>
          <w:tcPr/>
          <w:p>
            <w:pPr>
              <w:pStyle w:val="Compact"/>
            </w:pPr>
            <w:r>
              <w:t xml:space="preserve">Wartbarkeit / Erweiterbarkeit</w:t>
            </w:r>
          </w:p>
        </w:tc>
        <w:tc>
          <w:tcPr/>
          <w:p>
            <w:pPr>
              <w:pStyle w:val="Compact"/>
            </w:pPr>
            <w:r>
              <w:t xml:space="preserve">Der modulare Monolith muss so strukturiert sein, dass ein neues fachliches Modul (z.B. Statistik-Erweiterung) innerhalb von 5 Personentagen integriert werden kann, ohne bestehende Module zu verändern.</w:t>
            </w:r>
          </w:p>
        </w:tc>
        <w:tc>
          <w:tcPr/>
          <w:p>
            <w:pPr>
              <w:pStyle w:val="Compact"/>
            </w:pPr>
            <w:r>
              <w:t xml:space="preserve">Hoch</w:t>
            </w:r>
          </w:p>
        </w:tc>
      </w:tr>
      <w:tr>
        <w:tc>
          <w:tcPr/>
          <w:p>
            <w:pPr>
              <w:pStyle w:val="Compact"/>
            </w:pPr>
            <w:r>
              <w:t xml:space="preserve">QZ-02</w:t>
            </w:r>
          </w:p>
        </w:tc>
        <w:tc>
          <w:tcPr/>
          <w:p>
            <w:pPr>
              <w:pStyle w:val="Compact"/>
            </w:pPr>
            <w:r>
              <w:t xml:space="preserve">Verfügbarkeit</w:t>
            </w:r>
          </w:p>
        </w:tc>
        <w:tc>
          <w:tcPr/>
          <w:p>
            <w:pPr>
              <w:pStyle w:val="Compact"/>
            </w:pPr>
            <w:r>
              <w:t xml:space="preserve">Das System muss eine Verfügbarkeit von mindestens 95% pro Kalendermonat aufweisen (gemessen über HTTP Health-Check des API-Endpunkts).</w:t>
            </w:r>
          </w:p>
        </w:tc>
        <w:tc>
          <w:tcPr/>
          <w:p>
            <w:pPr>
              <w:pStyle w:val="Compact"/>
            </w:pPr>
            <w:r>
              <w:t xml:space="preserve">Hoch</w:t>
            </w:r>
          </w:p>
        </w:tc>
      </w:tr>
      <w:tr>
        <w:tc>
          <w:tcPr/>
          <w:p>
            <w:pPr>
              <w:pStyle w:val="Compact"/>
            </w:pPr>
            <w:r>
              <w:t xml:space="preserve">QZ-03</w:t>
            </w:r>
          </w:p>
        </w:tc>
        <w:tc>
          <w:tcPr/>
          <w:p>
            <w:pPr>
              <w:pStyle w:val="Compact"/>
            </w:pPr>
            <w:r>
              <w:t xml:space="preserve">Performance – Datenerfassung</w:t>
            </w:r>
          </w:p>
        </w:tc>
        <w:tc>
          <w:tcPr/>
          <w:p>
            <w:pPr>
              <w:pStyle w:val="Compact"/>
            </w:pPr>
            <w:r>
              <w:t xml:space="preserve">Das Erfassen eines einzelnen Punktes (POST /api/points) muss bei bis zu 100 gleichzeitigen Benutzern in maximal 250ms (95. Perzentil, serverseitig) abgeschlossen sein.</w:t>
            </w:r>
          </w:p>
        </w:tc>
        <w:tc>
          <w:tcPr/>
          <w:p>
            <w:pPr>
              <w:pStyle w:val="Compact"/>
            </w:pPr>
            <w:r>
              <w:t xml:space="preserve">Hoch</w:t>
            </w:r>
          </w:p>
        </w:tc>
      </w:tr>
      <w:tr>
        <w:tc>
          <w:tcPr/>
          <w:p>
            <w:pPr>
              <w:pStyle w:val="Compact"/>
            </w:pPr>
            <w:r>
              <w:t xml:space="preserve">QZ-04</w:t>
            </w:r>
          </w:p>
        </w:tc>
        <w:tc>
          <w:tcPr/>
          <w:p>
            <w:pPr>
              <w:pStyle w:val="Compact"/>
            </w:pPr>
            <w:r>
              <w:t xml:space="preserve">Performance – Statistik</w:t>
            </w:r>
          </w:p>
        </w:tc>
        <w:tc>
          <w:tcPr/>
          <w:p>
            <w:pPr>
              <w:pStyle w:val="Compact"/>
            </w:pPr>
            <w:r>
              <w:t xml:space="preserve">Die Berechnung einer Head-to-Head-Statistik zwischen zwei Spielern muss in maximal 60 Sekunden abgeschlossen sein, auch wenn über 500 Matches in der Datenbank vorliegen.</w:t>
            </w:r>
          </w:p>
        </w:tc>
        <w:tc>
          <w:tcPr/>
          <w:p>
            <w:pPr>
              <w:pStyle w:val="Compact"/>
            </w:pPr>
            <w:r>
              <w:t xml:space="preserve">Mittel</w:t>
            </w:r>
          </w:p>
        </w:tc>
      </w:tr>
      <w:tr>
        <w:tc>
          <w:tcPr/>
          <w:p>
            <w:pPr>
              <w:pStyle w:val="Compact"/>
            </w:pPr>
            <w:r>
              <w:t xml:space="preserve">QZ-05</w:t>
            </w:r>
          </w:p>
        </w:tc>
        <w:tc>
          <w:tcPr/>
          <w:p>
            <w:pPr>
              <w:pStyle w:val="Compact"/>
            </w:pPr>
            <w:r>
              <w:t xml:space="preserve">Sicherheit</w:t>
            </w:r>
          </w:p>
        </w:tc>
        <w:tc>
          <w:tcPr/>
          <w:p>
            <w:pPr>
              <w:pStyle w:val="Compact"/>
            </w:pPr>
            <w:r>
              <w:t xml:space="preserve">Alle API-Endpunkte (ausser /health) müssen durch ein gültiges OAuth2 Bearer Token geschützt sein. Unautorisierte Requests müssen mit HTTP 401 abgewiesen werden.</w:t>
            </w:r>
          </w:p>
        </w:tc>
        <w:tc>
          <w:tcPr/>
          <w:p>
            <w:pPr>
              <w:pStyle w:val="Compact"/>
            </w:pPr>
            <w:r>
              <w:t xml:space="preserve">Hoch</w:t>
            </w:r>
          </w:p>
        </w:tc>
      </w:tr>
      <w:tr>
        <w:tc>
          <w:tcPr/>
          <w:p>
            <w:pPr>
              <w:pStyle w:val="Compact"/>
            </w:pPr>
            <w:r>
              <w:t xml:space="preserve">QZ-06</w:t>
            </w:r>
          </w:p>
        </w:tc>
        <w:tc>
          <w:tcPr/>
          <w:p>
            <w:pPr>
              <w:pStyle w:val="Compact"/>
            </w:pPr>
            <w:r>
              <w:t xml:space="preserve">Performance – KI-Analyse</w:t>
            </w:r>
          </w:p>
        </w:tc>
        <w:tc>
          <w:tcPr/>
          <w:p>
            <w:pPr>
              <w:pStyle w:val="Compact"/>
            </w:pPr>
            <w:r>
              <w:t xml:space="preserve">Die KI-gestützte Match-Analyse (Postmortem) muss synchron innerhalb von 60 Sekunden generiert sein (Timeout des LLM-Aufrufs). Wiederholtes Lesen einer bereits generierten Analyse erfolgt aus der DB in &lt; 250 ms.</w:t>
            </w:r>
          </w:p>
        </w:tc>
        <w:tc>
          <w:tcPr/>
          <w:p>
            <w:pPr>
              <w:pStyle w:val="Compact"/>
            </w:pPr>
            <w:r>
              <w:t xml:space="preserve">Mittel</w:t>
            </w:r>
          </w:p>
        </w:tc>
      </w:tr>
    </w:tbl>
    <w:bookmarkEnd w:id="10"/>
    <w:bookmarkStart w:id="11" w:name="stakeholder"/>
    <w:p>
      <w:pPr>
        <w:pStyle w:val="Heading3"/>
      </w:pPr>
      <w:r>
        <w:t xml:space="preserve">1.3 Stakeholder</w:t>
      </w:r>
    </w:p>
    <w:tbl>
      <w:tblPr>
        <w:tblStyle w:val="Table"/>
        <w:tblW w:type="pct" w:w="5000"/>
        <w:tblLayout w:type="fixed"/>
        <w:tblLook w:firstRow="1" w:lastRow="0" w:firstColumn="0" w:lastColumn="0" w:noHBand="0" w:noVBand="0" w:val="0020"/>
      </w:tblPr>
      <w:tblGrid>
        <w:gridCol w:w="2132"/>
        <w:gridCol w:w="5787"/>
      </w:tblGrid>
      <w:tr>
        <w:trPr>
          <w:tblHeader w:val="on"/>
        </w:trPr>
        <w:tc>
          <w:tcPr/>
          <w:p>
            <w:pPr>
              <w:pStyle w:val="Compact"/>
            </w:pPr>
            <w:r>
              <w:t xml:space="preserve">Rolle</w:t>
            </w:r>
          </w:p>
        </w:tc>
        <w:tc>
          <w:tcPr/>
          <w:p>
            <w:pPr>
              <w:pStyle w:val="Compact"/>
            </w:pPr>
            <w:r>
              <w:t xml:space="preserve">Erwartungshaltung</w:t>
            </w:r>
          </w:p>
        </w:tc>
      </w:tr>
      <w:tr>
        <w:tc>
          <w:tcPr/>
          <w:p>
            <w:pPr>
              <w:pStyle w:val="Compact"/>
            </w:pPr>
            <w:r>
              <w:rPr>
                <w:b/>
                <w:bCs/>
              </w:rPr>
              <w:t xml:space="preserve">Tennistrainer</w:t>
            </w:r>
          </w:p>
        </w:tc>
        <w:tc>
          <w:tcPr/>
          <w:p>
            <w:pPr>
              <w:pStyle w:val="Compact"/>
            </w:pPr>
            <w:r>
              <w:t xml:space="preserve">Dokumentation von Matches, Zugriff auf Statistiken zur Vorbereitung auf Gegner, Analyse der Spielweise eigener Spieler.</w:t>
            </w:r>
          </w:p>
        </w:tc>
      </w:tr>
      <w:tr>
        <w:tc>
          <w:tcPr/>
          <w:p>
            <w:pPr>
              <w:pStyle w:val="Compact"/>
            </w:pPr>
            <w:r>
              <w:rPr>
                <w:b/>
                <w:bCs/>
              </w:rPr>
              <w:t xml:space="preserve">Eltern</w:t>
            </w:r>
          </w:p>
        </w:tc>
        <w:tc>
          <w:tcPr/>
          <w:p>
            <w:pPr>
              <w:pStyle w:val="Compact"/>
            </w:pPr>
            <w:r>
              <w:t xml:space="preserve">Einfache Bedienung während eines Matches, Übersichtliche Darstellung des Spielverlaufs und der Ergebnisse.</w:t>
            </w:r>
          </w:p>
        </w:tc>
      </w:tr>
      <w:tr>
        <w:tc>
          <w:tcPr/>
          <w:p>
            <w:pPr>
              <w:pStyle w:val="Compact"/>
            </w:pPr>
            <w:r>
              <w:rPr>
                <w:b/>
                <w:bCs/>
              </w:rPr>
              <w:t xml:space="preserve">Entwickler / Betreiber</w:t>
            </w:r>
          </w:p>
        </w:tc>
        <w:tc>
          <w:tcPr/>
          <w:p>
            <w:pPr>
              <w:pStyle w:val="Compact"/>
            </w:pPr>
            <w:r>
              <w:t xml:space="preserve">Wartbare, gut dokumentierte Codebasis. Einfaches Deployment mittels Docker.</w:t>
            </w:r>
          </w:p>
        </w:tc>
      </w:tr>
    </w:tbl>
    <w:bookmarkEnd w:id="11"/>
    <w:bookmarkStart w:id="12" w:name="ki-nutzen-pro-kernfunktion"/>
    <w:p>
      <w:pPr>
        <w:pStyle w:val="Heading3"/>
      </w:pPr>
      <w:r>
        <w:t xml:space="preserve">1.4 KI-Nutzen pro Kernfunktion</w:t>
      </w:r>
    </w:p>
    <w:p>
      <w:pPr>
        <w:pStyle w:val="FirstParagraph"/>
      </w:pPr>
      <w:r>
        <w:t xml:space="preserve">Die Tabelle bildet ab, welche Kernfunktion einen KI-Anteil hat. Mehrheitlich sind Scoring- und Statistik-Funktionen rein deterministisch — KI wird gezielt nur dort eingesetzt, wo natürlichsprachliche Synthese einen Mehrwert liefert, der aus Roh-Statistiken nicht mechanisch ableitbar 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w:t>
            </w:r>
          </w:p>
        </w:tc>
        <w:tc>
          <w:tcPr/>
          <w:p>
            <w:pPr>
              <w:pStyle w:val="Compact"/>
            </w:pPr>
            <w:r>
              <w:t xml:space="preserve">Funktion</w:t>
            </w:r>
          </w:p>
        </w:tc>
        <w:tc>
          <w:tcPr/>
          <w:p>
            <w:pPr>
              <w:pStyle w:val="Compact"/>
            </w:pPr>
            <w:r>
              <w:t xml:space="preserve">KI-Anteil</w:t>
            </w:r>
          </w:p>
        </w:tc>
      </w:tr>
      <w:tr>
        <w:tc>
          <w:tcPr/>
          <w:p>
            <w:pPr>
              <w:pStyle w:val="Compact"/>
            </w:pPr>
            <w:r>
              <w:t xml:space="preserve">FA-01, FA-02</w:t>
            </w:r>
          </w:p>
        </w:tc>
        <w:tc>
          <w:tcPr/>
          <w:p>
            <w:pPr>
              <w:pStyle w:val="Compact"/>
            </w:pPr>
            <w:r>
              <w:t xml:space="preserve">Registrierung / Authentifizierung</w:t>
            </w:r>
          </w:p>
        </w:tc>
        <w:tc>
          <w:tcPr/>
          <w:p>
            <w:pPr>
              <w:pStyle w:val="Compact"/>
            </w:pPr>
            <w:r>
              <w:t xml:space="preserve">– (Keycloak-Standard, OAuth2/OIDC)</w:t>
            </w:r>
          </w:p>
        </w:tc>
      </w:tr>
      <w:tr>
        <w:tc>
          <w:tcPr/>
          <w:p>
            <w:pPr>
              <w:pStyle w:val="Compact"/>
            </w:pPr>
            <w:r>
              <w:t xml:space="preserve">FA-03, FA-04, FA-12, FA-13</w:t>
            </w:r>
          </w:p>
        </w:tc>
        <w:tc>
          <w:tcPr/>
          <w:p>
            <w:pPr>
              <w:pStyle w:val="Compact"/>
            </w:pPr>
            <w:r>
              <w:t xml:space="preserve">Spieler-CRUD und -Suche</w:t>
            </w:r>
          </w:p>
        </w:tc>
        <w:tc>
          <w:tcPr/>
          <w:p>
            <w:pPr>
              <w:pStyle w:val="Compact"/>
            </w:pPr>
            <w:r>
              <w:t xml:space="preserve">– (klassische CRUD-Operationen)</w:t>
            </w:r>
          </w:p>
        </w:tc>
      </w:tr>
      <w:tr>
        <w:tc>
          <w:tcPr/>
          <w:p>
            <w:pPr>
              <w:pStyle w:val="Compact"/>
            </w:pPr>
            <w:r>
              <w:t xml:space="preserve">FA-05, FA-14, FA-15, FA-16</w:t>
            </w:r>
          </w:p>
        </w:tc>
        <w:tc>
          <w:tcPr/>
          <w:p>
            <w:pPr>
              <w:pStyle w:val="Compact"/>
            </w:pPr>
            <w:r>
              <w:t xml:space="preserve">Match-Lebenszyklus (Erstellen, Beenden, Walkover, Korrektur, Aufschläger)</w:t>
            </w:r>
          </w:p>
        </w:tc>
        <w:tc>
          <w:tcPr/>
          <w:p>
            <w:pPr>
              <w:pStyle w:val="Compact"/>
            </w:pPr>
            <w:r>
              <w:t xml:space="preserve">– (deterministisch)</w:t>
            </w:r>
          </w:p>
        </w:tc>
      </w:tr>
      <w:tr>
        <w:tc>
          <w:tcPr/>
          <w:p>
            <w:pPr>
              <w:pStyle w:val="Compact"/>
            </w:pPr>
            <w:r>
              <w:t xml:space="preserve">FA-06, FA-07</w:t>
            </w:r>
          </w:p>
        </w:tc>
        <w:tc>
          <w:tcPr/>
          <w:p>
            <w:pPr>
              <w:pStyle w:val="Compact"/>
            </w:pPr>
            <w:r>
              <w:t xml:space="preserve">Punkt erfassen / Spielstand anzeigen</w:t>
            </w:r>
          </w:p>
        </w:tc>
        <w:tc>
          <w:tcPr/>
          <w:p>
            <w:pPr>
              <w:pStyle w:val="Compact"/>
            </w:pPr>
            <w:r>
              <w:t xml:space="preserve">– (ITF-Regelwerk in</w:t>
            </w:r>
            <w:r>
              <w:t xml:space="preserve"> </w:t>
            </w:r>
            <w:r>
              <w:rPr>
                <w:rStyle w:val="VerbatimChar"/>
              </w:rPr>
              <w:t xml:space="preserve">ScoringService</w:t>
            </w:r>
            <w:r>
              <w:t xml:space="preserve">, deterministisch)</w:t>
            </w:r>
          </w:p>
        </w:tc>
      </w:tr>
      <w:tr>
        <w:tc>
          <w:tcPr/>
          <w:p>
            <w:pPr>
              <w:pStyle w:val="Compact"/>
            </w:pPr>
            <w:r>
              <w:t xml:space="preserve">FA-08</w:t>
            </w:r>
          </w:p>
        </w:tc>
        <w:tc>
          <w:tcPr/>
          <w:p>
            <w:pPr>
              <w:pStyle w:val="Compact"/>
            </w:pPr>
            <w:r>
              <w:t xml:space="preserve">Head-to-Head-Statistik</w:t>
            </w:r>
          </w:p>
        </w:tc>
        <w:tc>
          <w:tcPr/>
          <w:p>
            <w:pPr>
              <w:pStyle w:val="Compact"/>
            </w:pPr>
            <w:r>
              <w:t xml:space="preserve">– (Aggregation aus</w:t>
            </w:r>
            <w:r>
              <w:t xml:space="preserve"> </w:t>
            </w:r>
            <w:r>
              <w:rPr>
                <w:rStyle w:val="VerbatimChar"/>
              </w:rPr>
              <w:t xml:space="preserve">points</w:t>
            </w:r>
            <w:r>
              <w:t xml:space="preserve">, deterministisch)</w:t>
            </w:r>
          </w:p>
        </w:tc>
      </w:tr>
      <w:tr>
        <w:tc>
          <w:tcPr/>
          <w:p>
            <w:pPr>
              <w:pStyle w:val="Compact"/>
            </w:pPr>
            <w:r>
              <w:t xml:space="preserve">FA-17</w:t>
            </w:r>
          </w:p>
        </w:tc>
        <w:tc>
          <w:tcPr/>
          <w:p>
            <w:pPr>
              <w:pStyle w:val="Compact"/>
            </w:pPr>
            <w:r>
              <w:t xml:space="preserve">Match-Statistik (einzelnes Match)</w:t>
            </w:r>
          </w:p>
        </w:tc>
        <w:tc>
          <w:tcPr/>
          <w:p>
            <w:pPr>
              <w:pStyle w:val="Compact"/>
            </w:pPr>
            <w:r>
              <w:t xml:space="preserve">– (Aggregation aus</w:t>
            </w:r>
            <w:r>
              <w:t xml:space="preserve"> </w:t>
            </w:r>
            <w:r>
              <w:rPr>
                <w:rStyle w:val="VerbatimChar"/>
              </w:rPr>
              <w:t xml:space="preserve">points</w:t>
            </w:r>
            <w:r>
              <w:t xml:space="preserve">, deterministisch)</w:t>
            </w:r>
          </w:p>
        </w:tc>
      </w:tr>
      <w:tr>
        <w:tc>
          <w:tcPr/>
          <w:p>
            <w:pPr>
              <w:pStyle w:val="Compact"/>
            </w:pPr>
            <w:r>
              <w:rPr>
                <w:b/>
                <w:bCs/>
              </w:rPr>
              <w:t xml:space="preserve">FA-11</w:t>
            </w:r>
          </w:p>
        </w:tc>
        <w:tc>
          <w:tcPr/>
          <w:p>
            <w:pPr>
              <w:pStyle w:val="Compact"/>
            </w:pPr>
            <w:r>
              <w:rPr>
                <w:b/>
                <w:bCs/>
              </w:rPr>
              <w:t xml:space="preserve">KI-Match-Analyse (Postmortem)</w:t>
            </w:r>
          </w:p>
        </w:tc>
        <w:tc>
          <w:tcPr/>
          <w:p>
            <w:pPr>
              <w:pStyle w:val="Compact"/>
            </w:pPr>
            <w:r>
              <w:rPr>
                <w:b/>
                <w:bCs/>
              </w:rPr>
              <w:t xml:space="preserve">Spring AI → OpenAI (Default</w:t>
            </w:r>
            <w:r>
              <w:rPr>
                <w:b/>
                <w:bCs/>
              </w:rPr>
              <w:t xml:space="preserve"> </w:t>
            </w:r>
            <w:r>
              <w:rPr>
                <w:rStyle w:val="VerbatimChar"/>
                <w:b/>
                <w:bCs/>
              </w:rPr>
              <w:t xml:space="preserve">gpt-4o-mini</w:t>
            </w:r>
            <w:r>
              <w:rPr>
                <w:b/>
                <w:bCs/>
              </w:rPr>
              <w:t xml:space="preserve">); strukturierter JSON-Output via</w:t>
            </w:r>
            <w:r>
              <w:rPr>
                <w:b/>
                <w:bCs/>
              </w:rPr>
              <w:t xml:space="preserve"> </w:t>
            </w:r>
            <w:r>
              <w:rPr>
                <w:rStyle w:val="VerbatimChar"/>
                <w:b/>
                <w:bCs/>
              </w:rPr>
              <w:t xml:space="preserve">BeanOutputConverter</w:t>
            </w:r>
            <w:r>
              <w:rPr>
                <w:b/>
                <w:bCs/>
              </w:rPr>
              <w:t xml:space="preserve">; deterministischer Fallback via</w:t>
            </w:r>
            <w:r>
              <w:rPr>
                <w:b/>
                <w:bCs/>
              </w:rPr>
              <w:t xml:space="preserve"> </w:t>
            </w:r>
            <w:r>
              <w:rPr>
                <w:rStyle w:val="VerbatimChar"/>
                <w:b/>
                <w:bCs/>
              </w:rPr>
              <w:t xml:space="preserve">FakeLlmClientAdapter</w:t>
            </w:r>
            <w:r>
              <w:rPr>
                <w:b/>
                <w:bCs/>
              </w:rPr>
              <w:t xml:space="preserve">. Liefert taktische Synthese (Schlüsselmomente, Stärken / Schwächen je Spieler, 3–5 priorisierte Empfehlungen) — nicht mechanisch aus Roh-Statistiken ableitbar.</w:t>
            </w:r>
          </w:p>
        </w:tc>
      </w:tr>
      <w:tr>
        <w:tc>
          <w:tcPr/>
          <w:p>
            <w:pPr>
              <w:pStyle w:val="Compact"/>
            </w:pPr>
            <w:r>
              <w:rPr>
                <w:b/>
                <w:bCs/>
              </w:rPr>
              <w:t xml:space="preserve">FA-20</w:t>
            </w:r>
          </w:p>
        </w:tc>
        <w:tc>
          <w:tcPr/>
          <w:p>
            <w:pPr>
              <w:pStyle w:val="Compact"/>
            </w:pPr>
            <w:r>
              <w:rPr>
                <w:b/>
                <w:bCs/>
              </w:rPr>
              <w:t xml:space="preserve">KI-Vorbereitung gegen einen Gegner (Head-to-Head)</w:t>
            </w:r>
          </w:p>
        </w:tc>
        <w:tc>
          <w:tcPr/>
          <w:p>
            <w:pPr>
              <w:pStyle w:val="Compact"/>
            </w:pPr>
            <w:r>
              <w:rPr>
                <w:b/>
                <w:bCs/>
              </w:rPr>
              <w:t xml:space="preserve">Spring AI → OpenAI; gleiche Adapter-Chain wie FA-11. Liefert eine vorausschauende Vorbereitung (</w:t>
            </w:r>
            <w:r>
              <w:rPr>
                <w:rStyle w:val="VerbatimChar"/>
                <w:b/>
                <w:bCs/>
              </w:rPr>
              <w:t xml:space="preserve">opponentProfile</w:t>
            </w:r>
            <w:r>
              <w:rPr>
                <w:b/>
                <w:bCs/>
              </w:rPr>
              <w:t xml:space="preserve">,</w:t>
            </w:r>
            <w:r>
              <w:rPr>
                <w:b/>
                <w:bCs/>
              </w:rPr>
              <w:t xml:space="preserve"> </w:t>
            </w:r>
            <w:r>
              <w:rPr>
                <w:rStyle w:val="VerbatimChar"/>
                <w:b/>
                <w:bCs/>
              </w:rPr>
              <w:t xml:space="preserve">tacticalObservations</w:t>
            </w:r>
            <w:r>
              <w:rPr>
                <w:b/>
                <w:bCs/>
              </w:rPr>
              <w:t xml:space="preserve">,</w:t>
            </w:r>
            <w:r>
              <w:rPr>
                <w:b/>
                <w:bCs/>
              </w:rPr>
              <w:t xml:space="preserve"> </w:t>
            </w:r>
            <w:r>
              <w:rPr>
                <w:rStyle w:val="VerbatimChar"/>
                <w:b/>
                <w:bCs/>
              </w:rPr>
              <w:t xml:space="preserve">serveStrategy</w:t>
            </w:r>
            <w:r>
              <w:rPr>
                <w:b/>
                <w:bCs/>
              </w:rPr>
              <w:t xml:space="preserve">,</w:t>
            </w:r>
            <w:r>
              <w:rPr>
                <w:b/>
                <w:bCs/>
              </w:rPr>
              <w:t xml:space="preserve"> </w:t>
            </w:r>
            <w:r>
              <w:rPr>
                <w:rStyle w:val="VerbatimChar"/>
                <w:b/>
                <w:bCs/>
              </w:rPr>
              <w:t xml:space="preserve">returnStrategy</w:t>
            </w:r>
            <w:r>
              <w:rPr>
                <w:b/>
                <w:bCs/>
              </w:rPr>
              <w:t xml:space="preserve"> </w:t>
            </w:r>
            <w:r>
              <w:rPr>
                <w:b/>
                <w:bCs/>
              </w:rPr>
              <w:t xml:space="preserve">+ 3–5 Empfehlungen) auf Basis der kumulierten Head-to-Head-Statistik aus FA-08. Nicht persistiert (Daten ändern sich pro Match); Kostenkontrolle über den gleichen Rate-Limiter wie FA-11.</w:t>
            </w:r>
          </w:p>
        </w:tc>
      </w:tr>
      <w:tr>
        <w:tc>
          <w:tcPr/>
          <w:p>
            <w:pPr>
              <w:pStyle w:val="Compact"/>
            </w:pPr>
            <w:r>
              <w:t xml:space="preserve">FA-09 (V2)</w:t>
            </w:r>
          </w:p>
        </w:tc>
        <w:tc>
          <w:tcPr/>
          <w:p>
            <w:pPr>
              <w:pStyle w:val="Compact"/>
            </w:pPr>
            <w:r>
              <w:t xml:space="preserve">Google-Login</w:t>
            </w:r>
          </w:p>
        </w:tc>
        <w:tc>
          <w:tcPr/>
          <w:p>
            <w:pPr>
              <w:pStyle w:val="Compact"/>
            </w:pPr>
            <w:r>
              <w:t xml:space="preserve">– (IdP-Federation)</w:t>
            </w:r>
          </w:p>
        </w:tc>
      </w:tr>
      <w:tr>
        <w:tc>
          <w:tcPr/>
          <w:p>
            <w:pPr>
              <w:pStyle w:val="Compact"/>
            </w:pPr>
            <w:r>
              <w:t xml:space="preserve">FA-10 (V3)</w:t>
            </w:r>
          </w:p>
        </w:tc>
        <w:tc>
          <w:tcPr/>
          <w:p>
            <w:pPr>
              <w:pStyle w:val="Compact"/>
            </w:pPr>
            <w:r>
              <w:t xml:space="preserve">Aufsprungpunkte erfassen</w:t>
            </w:r>
          </w:p>
        </w:tc>
        <w:tc>
          <w:tcPr/>
          <w:p>
            <w:pPr>
              <w:pStyle w:val="Compact"/>
            </w:pPr>
            <w:r>
              <w:t xml:space="preserve">– (Touch-Erfassung)</w:t>
            </w:r>
          </w:p>
        </w:tc>
      </w:tr>
    </w:tbl>
    <w:p>
      <w:pPr>
        <w:pStyle w:val="BodyText"/>
      </w:pPr>
      <w:r>
        <w:t xml:space="preserve">V2 fortlaufend: Mit FA-20 ist die zweite KI-Rolle (Gegner-Vorbereitung, Head-to-Head-basiert) bereits implementiert. Offen für V2 bleibt das KI-Live-Coaching während des Matches.</w:t>
      </w:r>
    </w:p>
    <w:p>
      <w:r>
        <w:pict>
          <v:rect style="width:0;height:1.5pt" o:hralign="center" o:hrstd="t" o:hr="t"/>
        </w:pict>
      </w:r>
    </w:p>
    <w:bookmarkEnd w:id="12"/>
    <w:bookmarkEnd w:id="13"/>
    <w:bookmarkStart w:id="16" w:name="randbedingungen"/>
    <w:p>
      <w:pPr>
        <w:pStyle w:val="Heading2"/>
      </w:pPr>
      <w:r>
        <w:t xml:space="preserve">2. Randbedingungen</w:t>
      </w:r>
    </w:p>
    <w:bookmarkStart w:id="14" w:name="technische-randbedingungen"/>
    <w:p>
      <w:pPr>
        <w:pStyle w:val="Heading3"/>
      </w:pPr>
      <w:r>
        <w:t xml:space="preserve">2.1 Technische Randbedingungen</w:t>
      </w:r>
    </w:p>
    <w:tbl>
      <w:tblPr>
        <w:tblStyle w:val="Table"/>
        <w:tblW w:type="pct" w:w="5000"/>
        <w:tblLayout w:type="fixed"/>
        <w:tblLook w:firstRow="1" w:lastRow="0" w:firstColumn="0" w:lastColumn="0" w:noHBand="0" w:noVBand="0" w:val="0020"/>
      </w:tblPr>
      <w:tblGrid>
        <w:gridCol w:w="1667"/>
        <w:gridCol w:w="6252"/>
      </w:tblGrid>
      <w:tr>
        <w:trPr>
          <w:tblHeader w:val="on"/>
        </w:trPr>
        <w:tc>
          <w:tcPr/>
          <w:p>
            <w:pPr>
              <w:pStyle w:val="Compact"/>
            </w:pPr>
            <w:r>
              <w:t xml:space="preserve">ID</w:t>
            </w:r>
          </w:p>
        </w:tc>
        <w:tc>
          <w:tcPr/>
          <w:p>
            <w:pPr>
              <w:pStyle w:val="Compact"/>
            </w:pPr>
            <w:r>
              <w:t xml:space="preserve">Randbedingung</w:t>
            </w:r>
          </w:p>
        </w:tc>
      </w:tr>
      <w:tr>
        <w:tc>
          <w:tcPr/>
          <w:p>
            <w:pPr>
              <w:pStyle w:val="Compact"/>
            </w:pPr>
            <w:r>
              <w:t xml:space="preserve">RB-T01</w:t>
            </w:r>
          </w:p>
        </w:tc>
        <w:tc>
          <w:tcPr/>
          <w:p>
            <w:pPr>
              <w:pStyle w:val="Compact"/>
            </w:pPr>
            <w:r>
              <w:t xml:space="preserve">Programmiersprache Backend: Java 25 mit Spring Boot 4</w:t>
            </w:r>
          </w:p>
        </w:tc>
      </w:tr>
      <w:tr>
        <w:tc>
          <w:tcPr/>
          <w:p>
            <w:pPr>
              <w:pStyle w:val="Compact"/>
            </w:pPr>
            <w:r>
              <w:t xml:space="preserve">RB-T02</w:t>
            </w:r>
          </w:p>
        </w:tc>
        <w:tc>
          <w:tcPr/>
          <w:p>
            <w:pPr>
              <w:pStyle w:val="Compact"/>
            </w:pPr>
            <w:r>
              <w:t xml:space="preserve">Frontend: Angular mit Node.js als Build-/Dev-Server</w:t>
            </w:r>
          </w:p>
        </w:tc>
      </w:tr>
      <w:tr>
        <w:tc>
          <w:tcPr/>
          <w:p>
            <w:pPr>
              <w:pStyle w:val="Compact"/>
            </w:pPr>
            <w:r>
              <w:t xml:space="preserve">RB-T03</w:t>
            </w:r>
          </w:p>
        </w:tc>
        <w:tc>
          <w:tcPr/>
          <w:p>
            <w:pPr>
              <w:pStyle w:val="Compact"/>
            </w:pPr>
            <w:r>
              <w:t xml:space="preserve">Datenbank: PostgreSQL</w:t>
            </w:r>
          </w:p>
        </w:tc>
      </w:tr>
      <w:tr>
        <w:tc>
          <w:tcPr/>
          <w:p>
            <w:pPr>
              <w:pStyle w:val="Compact"/>
            </w:pPr>
            <w:r>
              <w:t xml:space="preserve">RB-T04</w:t>
            </w:r>
          </w:p>
        </w:tc>
        <w:tc>
          <w:tcPr/>
          <w:p>
            <w:pPr>
              <w:pStyle w:val="Compact"/>
            </w:pPr>
            <w:r>
              <w:t xml:space="preserve">Authentifizierung/Autorisierung: Keycloak als Identity Provider (OAuth2/OIDC)</w:t>
            </w:r>
          </w:p>
        </w:tc>
      </w:tr>
      <w:tr>
        <w:tc>
          <w:tcPr/>
          <w:p>
            <w:pPr>
              <w:pStyle w:val="Compact"/>
            </w:pPr>
            <w:r>
              <w:t xml:space="preserve">RB-T05</w:t>
            </w:r>
          </w:p>
        </w:tc>
        <w:tc>
          <w:tcPr/>
          <w:p>
            <w:pPr>
              <w:pStyle w:val="Compact"/>
            </w:pPr>
            <w:r>
              <w:t xml:space="preserve">Deployment: Docker Container (docker-compose) – Frontend + Backend in einem Container, DB in separatem Container</w:t>
            </w:r>
          </w:p>
        </w:tc>
      </w:tr>
      <w:tr>
        <w:tc>
          <w:tcPr/>
          <w:p>
            <w:pPr>
              <w:pStyle w:val="Compact"/>
            </w:pPr>
            <w:r>
              <w:t xml:space="preserve">RB-T06</w:t>
            </w:r>
          </w:p>
        </w:tc>
        <w:tc>
          <w:tcPr/>
          <w:p>
            <w:pPr>
              <w:pStyle w:val="Compact"/>
            </w:pPr>
            <w:r>
              <w:t xml:space="preserve">Architekturstil: Modularer Monolith als Gradle Multi-Module-Projekt. Das Backend wird nach den Prinzipien der Clean Architecture aufgebaut (Schichten: Domain, Application, Infrastructure, Adapter). Abhängigkeiten zeigen stets von aussen nach innen – die Domänenschicht hat keine Abhängigkeiten zu Frameworks oder Infrastruktur. Modulübergreifendes</w:t>
            </w:r>
            <w:r>
              <w:t xml:space="preserve"> </w:t>
            </w:r>
            <w:r>
              <w:rPr>
                <w:b/>
                <w:bCs/>
              </w:rPr>
              <w:t xml:space="preserve">Verhalten</w:t>
            </w:r>
            <w:r>
              <w:t xml:space="preserve"> </w:t>
            </w:r>
            <w:r>
              <w:t xml:space="preserve">wird ausschliesslich über definierte Interfaces im Application-Layer aufgerufen (Ports &amp; Adapters) – keine Event-basierte Kommunikation. Stabile</w:t>
            </w:r>
            <w:r>
              <w:t xml:space="preserve"> </w:t>
            </w:r>
            <w:r>
              <w:rPr>
                <w:b/>
                <w:bCs/>
              </w:rPr>
              <w:t xml:space="preserve">Domänen-Wertobjekte</w:t>
            </w:r>
            <w:r>
              <w:t xml:space="preserve"> </w:t>
            </w:r>
            <w:r>
              <w:t xml:space="preserve">(z. B.</w:t>
            </w:r>
            <w:r>
              <w:t xml:space="preserve"> </w:t>
            </w:r>
            <w:r>
              <w:rPr>
                <w:rStyle w:val="VerbatimChar"/>
              </w:rPr>
              <w:t xml:space="preserve">Point</w:t>
            </w:r>
            <w:r>
              <w:t xml:space="preserve">,</w:t>
            </w:r>
            <w:r>
              <w:t xml:space="preserve"> </w:t>
            </w:r>
            <w:r>
              <w:rPr>
                <w:rStyle w:val="VerbatimChar"/>
              </w:rPr>
              <w:t xml:space="preserve">Player</w:t>
            </w:r>
            <w:r>
              <w:t xml:space="preserve">,</w:t>
            </w:r>
            <w:r>
              <w:t xml:space="preserve"> </w:t>
            </w:r>
            <w:r>
              <w:rPr>
                <w:rStyle w:val="VerbatimChar"/>
              </w:rPr>
              <w:t xml:space="preserve">MatchStatistics</w:t>
            </w:r>
            <w:r>
              <w:t xml:space="preserve">) dürfen dagegen als gemeinsames, lesendes Domänenmodell modulübergreifend verwendet werden, statt sie an jeder Modulgrenze auf DTOs abzubilden (siehe ADR-13). Die Einhaltung dieser Regeln (framework-freie Domäne, einwärts gerichtete Schichten, zyklenfreier Modulgraph) wird durch</w:t>
            </w:r>
            <w:r>
              <w:t xml:space="preserve"> </w:t>
            </w:r>
            <w:r>
              <w:rPr>
                <w:rStyle w:val="VerbatimChar"/>
              </w:rPr>
              <w:t xml:space="preserve">ArchitectureTest</w:t>
            </w:r>
            <w:r>
              <w:t xml:space="preserve"> </w:t>
            </w:r>
            <w:r>
              <w:t xml:space="preserve">automatisiert geprüft.</w:t>
            </w:r>
          </w:p>
        </w:tc>
      </w:tr>
    </w:tbl>
    <w:bookmarkEnd w:id="14"/>
    <w:bookmarkStart w:id="15" w:name="organisatorische-randbedingungen"/>
    <w:p>
      <w:pPr>
        <w:pStyle w:val="Heading3"/>
      </w:pPr>
      <w:r>
        <w:t xml:space="preserve">2.2 Organisatorische Randbedingungen</w:t>
      </w:r>
    </w:p>
    <w:p>
      <w:pPr>
        <w:pStyle w:val="Compact"/>
        <w:numPr>
          <w:ilvl w:val="0"/>
          <w:numId w:val="1001"/>
        </w:numPr>
      </w:pPr>
      <w:r>
        <w:t xml:space="preserve">Die App soll für Tennisspieler selbsterklärend sein. Fachbegriffe aus der Tenniswelt dürfen verwendet werden.</w:t>
      </w:r>
    </w:p>
    <w:p>
      <w:pPr>
        <w:pStyle w:val="Compact"/>
        <w:numPr>
          <w:ilvl w:val="0"/>
          <w:numId w:val="1001"/>
        </w:numPr>
      </w:pPr>
      <w:r>
        <w:t xml:space="preserve">Erste Version (MVP) als reine Web-Applikation. Native iOS-App ist für Version 2 geplant.</w:t>
      </w:r>
    </w:p>
    <w:p>
      <w:pPr>
        <w:pStyle w:val="Compact"/>
        <w:numPr>
          <w:ilvl w:val="0"/>
          <w:numId w:val="1001"/>
        </w:numPr>
      </w:pPr>
      <w:r>
        <w:t xml:space="preserve">Keine Integration mit externen APIs in Version 1 (Swisstennis-API erst ab Version 4).</w:t>
      </w:r>
    </w:p>
    <w:p>
      <w:r>
        <w:pict>
          <v:rect style="width:0;height:1.5pt" o:hralign="center" o:hrstd="t" o:hr="t"/>
        </w:pict>
      </w:r>
    </w:p>
    <w:bookmarkEnd w:id="15"/>
    <w:bookmarkEnd w:id="16"/>
    <w:bookmarkStart w:id="23" w:name="kontextabgrenzung"/>
    <w:p>
      <w:pPr>
        <w:pStyle w:val="Heading2"/>
      </w:pPr>
      <w:r>
        <w:t xml:space="preserve">3. Kontextabgrenzung</w:t>
      </w:r>
    </w:p>
    <w:bookmarkStart w:id="21" w:name="fachlicher-kontext"/>
    <w:p>
      <w:pPr>
        <w:pStyle w:val="Heading3"/>
      </w:pPr>
      <w:r>
        <w:t xml:space="preserve">3.1 Fachlicher Kontext</w:t>
      </w:r>
    </w:p>
    <w:p>
      <w:pPr>
        <w:pStyle w:val="FirstParagraph"/>
      </w:pPr>
      <w:r>
        <w:t xml:space="preserve">TSaS interagiert mit folgenden externen Akteuren und Systemen:</w:t>
      </w:r>
    </w:p>
    <w:p>
      <w:pPr>
        <w:pStyle w:val="CaptionedFigure"/>
      </w:pPr>
      <w:r>
        <w:drawing>
          <wp:inline>
            <wp:extent cx="5039999" cy="3130739"/>
            <wp:effectExtent b="0" l="0" r="0" t="0"/>
            <wp:docPr descr="TSaS – Fachlicher Kontext" title="" id="18" name="Picture"/>
            <a:graphic>
              <a:graphicData uri="http://schemas.openxmlformats.org/drawingml/2006/picture">
                <pic:pic>
                  <pic:nvPicPr>
                    <pic:cNvPr descr="Fachlicher_Kontext.png" id="19" name="Picture"/>
                    <pic:cNvPicPr>
                      <a:picLocks noChangeArrowheads="1" noChangeAspect="1"/>
                    </pic:cNvPicPr>
                  </pic:nvPicPr>
                  <pic:blipFill>
                    <a:blip r:embed="rId17"/>
                    <a:stretch>
                      <a:fillRect/>
                    </a:stretch>
                  </pic:blipFill>
                  <pic:spPr bwMode="auto">
                    <a:xfrm>
                      <a:off x="0" y="0"/>
                      <a:ext cx="5039999" cy="3130739"/>
                    </a:xfrm>
                    <a:prstGeom prst="rect">
                      <a:avLst/>
                    </a:prstGeom>
                    <a:noFill/>
                    <a:ln w="9525">
                      <a:noFill/>
                      <a:headEnd/>
                      <a:tailEnd/>
                    </a:ln>
                  </pic:spPr>
                </pic:pic>
              </a:graphicData>
            </a:graphic>
          </wp:inline>
        </w:drawing>
      </w:r>
    </w:p>
    <w:p>
      <w:pPr>
        <w:pStyle w:val="ImageCaption"/>
      </w:pPr>
      <w:r>
        <w:t xml:space="preserve">TSaS – Fachlicher Kontext</w:t>
      </w:r>
    </w:p>
    <w:p>
      <w:pPr>
        <w:pStyle w:val="BodyText"/>
      </w:pPr>
      <w:r>
        <w:rPr>
          <w:i/>
          <w:iCs/>
        </w:rPr>
        <w:t xml:space="preserve">Durchgezogene Linien = implementiert (V1 / V1.x), gestrichelte Linien = geplante Versionen. Quelle:</w:t>
      </w:r>
      <w:r>
        <w:rPr>
          <w:i/>
          <w:iCs/>
        </w:rPr>
        <w:t xml:space="preserve"> </w:t>
      </w:r>
      <w:hyperlink r:id="rId20">
        <w:r>
          <w:rPr>
            <w:rStyle w:val="VerbatimChar"/>
            <w:i/>
            <w:iCs/>
          </w:rPr>
          <w:t xml:space="preserve">diagrams/TSaS_Fachlicher_Kontext.drawio</w:t>
        </w:r>
      </w:hyperlink>
    </w:p>
    <w:tbl>
      <w:tblPr>
        <w:tblStyle w:val="Table"/>
        <w:tblW w:type="pct" w:w="5000"/>
        <w:tblLayout w:type="fixed"/>
        <w:tblLook w:firstRow="1" w:lastRow="0" w:firstColumn="0" w:lastColumn="0" w:noHBand="0" w:noVBand="0" w:val="0020"/>
      </w:tblPr>
      <w:tblGrid>
        <w:gridCol w:w="4598"/>
        <w:gridCol w:w="3321"/>
      </w:tblGrid>
      <w:tr>
        <w:trPr>
          <w:tblHeader w:val="on"/>
        </w:trPr>
        <w:tc>
          <w:tcPr/>
          <w:p>
            <w:pPr>
              <w:pStyle w:val="Compact"/>
            </w:pPr>
            <w:r>
              <w:t xml:space="preserve">Akteur / System</w:t>
            </w:r>
          </w:p>
        </w:tc>
        <w:tc>
          <w:tcPr/>
          <w:p>
            <w:pPr>
              <w:pStyle w:val="Compact"/>
            </w:pPr>
            <w:r>
              <w:t xml:space="preserve">Beschreibung</w:t>
            </w:r>
          </w:p>
        </w:tc>
      </w:tr>
      <w:tr>
        <w:tc>
          <w:tcPr/>
          <w:p>
            <w:pPr>
              <w:pStyle w:val="Compact"/>
            </w:pPr>
            <w:r>
              <w:rPr>
                <w:b/>
                <w:bCs/>
              </w:rPr>
              <w:t xml:space="preserve">Trainer / Eltern</w:t>
            </w:r>
          </w:p>
        </w:tc>
        <w:tc>
          <w:tcPr/>
          <w:p>
            <w:pPr>
              <w:pStyle w:val="Compact"/>
            </w:pPr>
            <w:r>
              <w:t xml:space="preserve">Erfassen Spielstände Punkt für Punkt, rufen Statistiken ab, verwalten Spielerprofile.</w:t>
            </w:r>
          </w:p>
        </w:tc>
      </w:tr>
      <w:tr>
        <w:tc>
          <w:tcPr/>
          <w:p>
            <w:pPr>
              <w:pStyle w:val="Compact"/>
            </w:pPr>
            <w:r>
              <w:rPr>
                <w:b/>
                <w:bCs/>
              </w:rPr>
              <w:t xml:space="preserve">Keycloak (IDP)</w:t>
            </w:r>
          </w:p>
        </w:tc>
        <w:tc>
          <w:tcPr/>
          <w:p>
            <w:pPr>
              <w:pStyle w:val="Compact"/>
            </w:pPr>
            <w:r>
              <w:t xml:space="preserve">Authentifizierung und Autorisierung der Benutzer via OAuth2/OIDC. In V2 zusätzlich Google als federated IDP.</w:t>
            </w:r>
          </w:p>
        </w:tc>
      </w:tr>
      <w:tr>
        <w:tc>
          <w:tcPr/>
          <w:p>
            <w:pPr>
              <w:pStyle w:val="Compact"/>
            </w:pPr>
            <w:r>
              <w:rPr>
                <w:b/>
                <w:bCs/>
              </w:rPr>
              <w:t xml:space="preserve">Swisstennis API (V4+)</w:t>
            </w:r>
          </w:p>
        </w:tc>
        <w:tc>
          <w:tcPr/>
          <w:p>
            <w:pPr>
              <w:pStyle w:val="Compact"/>
            </w:pPr>
            <w:r>
              <w:t xml:space="preserve">Zukünftige Integration zum Abruf von offiziellen Spieler- und Turnierdaten.</w:t>
            </w:r>
          </w:p>
        </w:tc>
      </w:tr>
      <w:tr>
        <w:tc>
          <w:tcPr/>
          <w:p>
            <w:pPr>
              <w:pStyle w:val="Compact"/>
            </w:pPr>
            <w:r>
              <w:rPr>
                <w:b/>
                <w:bCs/>
              </w:rPr>
              <w:t xml:space="preserve">Kamera-System (V5+)</w:t>
            </w:r>
          </w:p>
        </w:tc>
        <w:tc>
          <w:tcPr/>
          <w:p>
            <w:pPr>
              <w:pStyle w:val="Compact"/>
            </w:pPr>
            <w:r>
              <w:t xml:space="preserve">Automatische Erfassung von Aufsprungpunkten des Balls („Hawk Eye very light”).</w:t>
            </w:r>
          </w:p>
        </w:tc>
      </w:tr>
    </w:tbl>
    <w:bookmarkEnd w:id="21"/>
    <w:bookmarkStart w:id="22" w:name="technischer-kontext"/>
    <w:p>
      <w:pPr>
        <w:pStyle w:val="Heading3"/>
      </w:pPr>
      <w:r>
        <w:t xml:space="preserve">3.2 Technischer Kontext</w:t>
      </w:r>
    </w:p>
    <w:p>
      <w:pPr>
        <w:pStyle w:val="FirstParagraph"/>
      </w:pPr>
      <w:r>
        <w:t xml:space="preserve">Die Kommunikation zwischen den Systemkomponenten erfolgt über folgende technische Schnittstellen: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Schnittstelle</w:t>
            </w:r>
          </w:p>
        </w:tc>
        <w:tc>
          <w:tcPr/>
          <w:p>
            <w:pPr>
              <w:pStyle w:val="Compact"/>
            </w:pPr>
            <w:r>
              <w:t xml:space="preserve">Protokoll / Technologie</w:t>
            </w:r>
          </w:p>
        </w:tc>
      </w:tr>
      <w:tr>
        <w:tc>
          <w:tcPr/>
          <w:p>
            <w:pPr>
              <w:pStyle w:val="Compact"/>
            </w:pPr>
            <w:r>
              <w:t xml:space="preserve">Browser ↔ Angular-Frontend</w:t>
            </w:r>
          </w:p>
        </w:tc>
        <w:tc>
          <w:tcPr/>
          <w:p>
            <w:pPr>
              <w:pStyle w:val="Compact"/>
            </w:pPr>
            <w:r>
              <w:t xml:space="preserve">HTTPS, Port 443 (bzw. 4200 in Dev)</w:t>
            </w:r>
          </w:p>
        </w:tc>
      </w:tr>
      <w:tr>
        <w:tc>
          <w:tcPr/>
          <w:p>
            <w:pPr>
              <w:pStyle w:val="Compact"/>
            </w:pPr>
            <w:r>
              <w:t xml:space="preserve">Angular-Frontend ↔ Spring Boot API</w:t>
            </w:r>
          </w:p>
        </w:tc>
        <w:tc>
          <w:tcPr/>
          <w:p>
            <w:pPr>
              <w:pStyle w:val="Compact"/>
            </w:pPr>
            <w:r>
              <w:t xml:space="preserve">REST/JSON über HTTPS, Port 8080</w:t>
            </w:r>
          </w:p>
        </w:tc>
      </w:tr>
      <w:tr>
        <w:tc>
          <w:tcPr/>
          <w:p>
            <w:pPr>
              <w:pStyle w:val="Compact"/>
            </w:pPr>
            <w:r>
              <w:t xml:space="preserve">Spring Boot API ↔ PostgreSQL</w:t>
            </w:r>
          </w:p>
        </w:tc>
        <w:tc>
          <w:tcPr/>
          <w:p>
            <w:pPr>
              <w:pStyle w:val="Compact"/>
            </w:pPr>
            <w:r>
              <w:t xml:space="preserve">JDBC/TCP, Port 5432</w:t>
            </w:r>
          </w:p>
        </w:tc>
      </w:tr>
      <w:tr>
        <w:tc>
          <w:tcPr/>
          <w:p>
            <w:pPr>
              <w:pStyle w:val="Compact"/>
            </w:pPr>
            <w:r>
              <w:t xml:space="preserve">Spring Boot API ↔ Keycloak</w:t>
            </w:r>
          </w:p>
        </w:tc>
        <w:tc>
          <w:tcPr/>
          <w:p>
            <w:pPr>
              <w:pStyle w:val="Compact"/>
            </w:pPr>
            <w:r>
              <w:t xml:space="preserve">OAuth2/OIDC, HTTPS, Port 8443</w:t>
            </w:r>
          </w:p>
        </w:tc>
      </w:tr>
    </w:tbl>
    <w:p>
      <w:pPr>
        <w:pStyle w:val="BlockText"/>
      </w:pPr>
      <w:r>
        <w:rPr>
          <w:b/>
          <w:bCs/>
        </w:rPr>
        <w:t xml:space="preserve">OpenAPI-Vertrag:</w:t>
      </w:r>
      <w:r>
        <w:t xml:space="preserve"> </w:t>
      </w:r>
      <w:r>
        <w:t xml:space="preserve">Das Backend exponiert seinen REST-Vertrag maschinenlesbar unter</w:t>
      </w:r>
      <w:r>
        <w:t xml:space="preserve"> </w:t>
      </w:r>
      <w:r>
        <w:rPr>
          <w:rStyle w:val="VerbatimChar"/>
        </w:rPr>
        <w:t xml:space="preserve">GET /v3/api-docs</w:t>
      </w:r>
      <w:r>
        <w:t xml:space="preserve"> </w:t>
      </w:r>
      <w:r>
        <w:t xml:space="preserve">(OpenAPI 3.x JSON) und für menschliche Konsumenten unter</w:t>
      </w:r>
      <w:r>
        <w:t xml:space="preserve"> </w:t>
      </w:r>
      <w:r>
        <w:rPr>
          <w:rStyle w:val="VerbatimChar"/>
        </w:rPr>
        <w:t xml:space="preserve">GET /swagger-ui.html</w:t>
      </w:r>
      <w:r>
        <w:t xml:space="preserve">. Die Pfade sind</w:t>
      </w:r>
      <w:r>
        <w:t xml:space="preserve"> </w:t>
      </w:r>
      <w:r>
        <w:rPr>
          <w:rStyle w:val="VerbatimChar"/>
        </w:rPr>
        <w:t xml:space="preserve">permitAll()</w:t>
      </w:r>
      <w:r>
        <w:t xml:space="preserve"> </w:t>
      </w:r>
      <w:r>
        <w:t xml:space="preserve">(öffentlicher Vertrag), die Operationen selbst weiterhin durch Bearer-JWT geschützt (Security-Scheme</w:t>
      </w:r>
      <w:r>
        <w:t xml:space="preserve"> </w:t>
      </w:r>
      <w:r>
        <w:rPr>
          <w:rStyle w:val="VerbatimChar"/>
        </w:rPr>
        <w:t xml:space="preserve">bearer-jwt</w:t>
      </w:r>
      <w:r>
        <w:t xml:space="preserve">).</w:t>
      </w:r>
    </w:p>
    <w:p>
      <w:r>
        <w:pict>
          <v:rect style="width:0;height:1.5pt" o:hralign="center" o:hrstd="t" o:hr="t"/>
        </w:pict>
      </w:r>
    </w:p>
    <w:bookmarkEnd w:id="22"/>
    <w:bookmarkEnd w:id="23"/>
    <w:bookmarkStart w:id="27" w:name="lösungsstrategie"/>
    <w:p>
      <w:pPr>
        <w:pStyle w:val="Heading2"/>
      </w:pPr>
      <w:r>
        <w:t xml:space="preserve">4. Lösungsstrategie</w:t>
      </w:r>
    </w:p>
    <w:bookmarkStart w:id="24" w:name="architekturansatz-modularer-monolith"/>
    <w:p>
      <w:pPr>
        <w:pStyle w:val="Heading3"/>
      </w:pPr>
      <w:r>
        <w:t xml:space="preserve">4.1 Architekturansatz: Modularer Monolith</w:t>
      </w:r>
    </w:p>
    <w:p>
      <w:pPr>
        <w:pStyle w:val="FirstParagraph"/>
      </w:pPr>
      <w:r>
        <w:t xml:space="preserve">Die Anwendung wird als modularer Monolith realisiert. Diese Entscheidung basiert auf folgenden Überlegungen:</w:t>
      </w:r>
    </w:p>
    <w:p>
      <w:pPr>
        <w:pStyle w:val="Compact"/>
        <w:numPr>
          <w:ilvl w:val="0"/>
          <w:numId w:val="1002"/>
        </w:numPr>
      </w:pPr>
      <w:r>
        <w:t xml:space="preserve">Relativ kleine Applikation zu Beginn – ein Microservice-Ansatz wäre Over-Engineering.</w:t>
      </w:r>
    </w:p>
    <w:p>
      <w:pPr>
        <w:pStyle w:val="Compact"/>
        <w:numPr>
          <w:ilvl w:val="0"/>
          <w:numId w:val="1002"/>
        </w:numPr>
      </w:pPr>
      <w:r>
        <w:t xml:space="preserve">Vereinfachtes Deployment als einzelne deploybare Einheit.</w:t>
      </w:r>
    </w:p>
    <w:p>
      <w:pPr>
        <w:pStyle w:val="Compact"/>
        <w:numPr>
          <w:ilvl w:val="0"/>
          <w:numId w:val="1002"/>
        </w:numPr>
      </w:pPr>
      <w:r>
        <w:t xml:space="preserve">Modularität innerhalb des Monolithen ermöglicht ein nachträgliches Aufteilen in einzelne Services, falls dies notwendig wird.</w:t>
      </w:r>
    </w:p>
    <w:p>
      <w:pPr>
        <w:pStyle w:val="Compact"/>
        <w:numPr>
          <w:ilvl w:val="0"/>
          <w:numId w:val="1002"/>
        </w:numPr>
      </w:pPr>
      <w:r>
        <w:t xml:space="preserve">Geringere Komplexität bei der Kommunikation (keine Netzwerk-Latenzen zwischen Modulen).</w:t>
      </w:r>
    </w:p>
    <w:bookmarkEnd w:id="24"/>
    <w:bookmarkStart w:id="25" w:name="technologieentscheidungen"/>
    <w:p>
      <w:pPr>
        <w:pStyle w:val="Heading3"/>
      </w:pPr>
      <w:r>
        <w:t xml:space="preserve">4.2 Technologieentscheidungen</w:t>
      </w:r>
    </w:p>
    <w:tbl>
      <w:tblPr>
        <w:tblStyle w:val="Table"/>
        <w:tblW w:type="pct" w:w="5000"/>
        <w:tblLayout w:type="fixed"/>
        <w:tblLook w:firstRow="1" w:lastRow="0" w:firstColumn="0" w:lastColumn="0" w:noHBand="0" w:noVBand="0" w:val="0020"/>
      </w:tblPr>
      <w:tblGrid>
        <w:gridCol w:w="2096"/>
        <w:gridCol w:w="3028"/>
        <w:gridCol w:w="2795"/>
      </w:tblGrid>
      <w:tr>
        <w:trPr>
          <w:tblHeader w:val="on"/>
        </w:trPr>
        <w:tc>
          <w:tcPr/>
          <w:p>
            <w:pPr>
              <w:pStyle w:val="Compact"/>
            </w:pPr>
            <w:r>
              <w:t xml:space="preserve">Bereich</w:t>
            </w:r>
          </w:p>
        </w:tc>
        <w:tc>
          <w:tcPr/>
          <w:p>
            <w:pPr>
              <w:pStyle w:val="Compact"/>
            </w:pPr>
            <w:r>
              <w:t xml:space="preserve">Technologie</w:t>
            </w:r>
          </w:p>
        </w:tc>
        <w:tc>
          <w:tcPr/>
          <w:p>
            <w:pPr>
              <w:pStyle w:val="Compact"/>
            </w:pPr>
            <w:r>
              <w:t xml:space="preserve">Begründung</w:t>
            </w:r>
          </w:p>
        </w:tc>
      </w:tr>
      <w:tr>
        <w:tc>
          <w:tcPr/>
          <w:p>
            <w:pPr>
              <w:pStyle w:val="Compact"/>
            </w:pPr>
            <w:r>
              <w:rPr>
                <w:b/>
                <w:bCs/>
              </w:rPr>
              <w:t xml:space="preserve">Backend</w:t>
            </w:r>
          </w:p>
        </w:tc>
        <w:tc>
          <w:tcPr/>
          <w:p>
            <w:pPr>
              <w:pStyle w:val="Compact"/>
            </w:pPr>
            <w:r>
              <w:t xml:space="preserve">Java 25, Spring Boot 4, Gradle Multi-Module</w:t>
            </w:r>
          </w:p>
        </w:tc>
        <w:tc>
          <w:tcPr/>
          <w:p>
            <w:pPr>
              <w:pStyle w:val="Compact"/>
            </w:pPr>
            <w:r>
              <w:t xml:space="preserve">Etabliertes Ökosystem, grosse Community, ausgereiftes Dependency-Management. Gradle Multi-Module-Projekt ermöglicht klare Modulgrenzen mit expliziten Compile-Zeit-Abhängigkeiten. Synchrone Modul-Kommunikation über Interfaces im Application-Layer – einfacher und direkter als Event-basierte Ansätze.</w:t>
            </w:r>
          </w:p>
        </w:tc>
      </w:tr>
      <w:tr>
        <w:tc>
          <w:tcPr/>
          <w:p>
            <w:pPr>
              <w:pStyle w:val="Compact"/>
            </w:pPr>
            <w:r>
              <w:rPr>
                <w:b/>
                <w:bCs/>
              </w:rPr>
              <w:t xml:space="preserve">Frontend</w:t>
            </w:r>
          </w:p>
        </w:tc>
        <w:tc>
          <w:tcPr/>
          <w:p>
            <w:pPr>
              <w:pStyle w:val="Compact"/>
            </w:pPr>
            <w:r>
              <w:t xml:space="preserve">Angular mit Node.js, Angular Material, ngx-charts</w:t>
            </w:r>
          </w:p>
        </w:tc>
        <w:tc>
          <w:tcPr/>
          <w:p>
            <w:pPr>
              <w:pStyle w:val="Compact"/>
            </w:pPr>
            <w:r>
              <w:t xml:space="preserve">Typsicherheit durch TypeScript, komponentenbasiert, gut geeignet für komplexe Single-Page-Applikationen. Angular Material liefert touch-optimierte UI-Komponenten (grosse Buttons, Formulare, Dialoge) für die Punkterfassung auf dem Platz. ngx-charts ergänzt Statistik-Visualisierungen.</w:t>
            </w:r>
          </w:p>
        </w:tc>
      </w:tr>
      <w:tr>
        <w:tc>
          <w:tcPr/>
          <w:p>
            <w:pPr>
              <w:pStyle w:val="Compact"/>
            </w:pPr>
            <w:r>
              <w:rPr>
                <w:b/>
                <w:bCs/>
              </w:rPr>
              <w:t xml:space="preserve">Datenbank</w:t>
            </w:r>
          </w:p>
        </w:tc>
        <w:tc>
          <w:tcPr/>
          <w:p>
            <w:pPr>
              <w:pStyle w:val="Compact"/>
            </w:pPr>
            <w:r>
              <w:t xml:space="preserve">PostgreSQL</w:t>
            </w:r>
          </w:p>
        </w:tc>
        <w:tc>
          <w:tcPr/>
          <w:p>
            <w:pPr>
              <w:pStyle w:val="Compact"/>
            </w:pPr>
            <w:r>
              <w:t xml:space="preserve">Bekannt, verbreitet, Open Source, geringes Risiko. Gute Unterstützung für relationale Datenmodelle.</w:t>
            </w:r>
          </w:p>
        </w:tc>
      </w:tr>
      <w:tr>
        <w:tc>
          <w:tcPr/>
          <w:p>
            <w:pPr>
              <w:pStyle w:val="Compact"/>
            </w:pPr>
            <w:r>
              <w:rPr>
                <w:b/>
                <w:bCs/>
              </w:rPr>
              <w:t xml:space="preserve">Security</w:t>
            </w:r>
          </w:p>
        </w:tc>
        <w:tc>
          <w:tcPr/>
          <w:p>
            <w:pPr>
              <w:pStyle w:val="Compact"/>
            </w:pPr>
            <w:r>
              <w:t xml:space="preserve">Keycloak</w:t>
            </w:r>
          </w:p>
        </w:tc>
        <w:tc>
          <w:tcPr/>
          <w:p>
            <w:pPr>
              <w:pStyle w:val="Compact"/>
            </w:pPr>
            <w:r>
              <w:t xml:space="preserve">Standard für OIDC/OAuth2. Ermöglicht Einbettung von federated IDPs wie Google, Facebook.</w:t>
            </w:r>
          </w:p>
        </w:tc>
      </w:tr>
      <w:tr>
        <w:tc>
          <w:tcPr/>
          <w:p>
            <w:pPr>
              <w:pStyle w:val="Compact"/>
            </w:pPr>
            <w:r>
              <w:rPr>
                <w:b/>
                <w:bCs/>
              </w:rPr>
              <w:t xml:space="preserve">Deployment</w:t>
            </w:r>
          </w:p>
        </w:tc>
        <w:tc>
          <w:tcPr/>
          <w:p>
            <w:pPr>
              <w:pStyle w:val="Compact"/>
            </w:pPr>
            <w:r>
              <w:t xml:space="preserve">Docker / Docker Compose</w:t>
            </w:r>
          </w:p>
        </w:tc>
        <w:tc>
          <w:tcPr/>
          <w:p>
            <w:pPr>
              <w:pStyle w:val="Compact"/>
            </w:pPr>
            <w:r>
              <w:t xml:space="preserve">Konsistente Umgebung über Entwicklung, Test und Produktion hinweg.</w:t>
            </w:r>
          </w:p>
        </w:tc>
      </w:tr>
      <w:tr>
        <w:tc>
          <w:tcPr/>
          <w:p>
            <w:pPr>
              <w:pStyle w:val="Compact"/>
            </w:pPr>
            <w:r>
              <w:rPr>
                <w:b/>
                <w:bCs/>
              </w:rPr>
              <w:t xml:space="preserve">KI / LLM</w:t>
            </w:r>
          </w:p>
        </w:tc>
        <w:tc>
          <w:tcPr/>
          <w:p>
            <w:pPr>
              <w:pStyle w:val="Compact"/>
            </w:pPr>
            <w:r>
              <w:t xml:space="preserve">Spring AI 2.0.x mit OpenAI (gpt-4o-mini Default)</w:t>
            </w:r>
          </w:p>
        </w:tc>
        <w:tc>
          <w:tcPr/>
          <w:p>
            <w:pPr>
              <w:pStyle w:val="Compact"/>
            </w:pPr>
            <w:r>
              <w:t xml:space="preserve">Spring AI 2.x ist Boot-4-kompatibel und liefert die</w:t>
            </w:r>
            <w:r>
              <w:t xml:space="preserve"> </w:t>
            </w:r>
            <w:r>
              <w:rPr>
                <w:rStyle w:val="VerbatimChar"/>
              </w:rPr>
              <w:t xml:space="preserve">ChatClient</w:t>
            </w:r>
            <w:r>
              <w:t xml:space="preserve">-Abstraktion mit strukturiertem JSON-Output (BeanOutputConverter) für taktische Match-Analysen. OpenAI gewählt für die initiale Implementierung; der</w:t>
            </w:r>
            <w:r>
              <w:t xml:space="preserve"> </w:t>
            </w:r>
            <w:r>
              <w:rPr>
                <w:rStyle w:val="VerbatimChar"/>
              </w:rPr>
              <w:t xml:space="preserve">LlmClientPort</w:t>
            </w:r>
            <w:r>
              <w:t xml:space="preserve"> </w:t>
            </w:r>
            <w:r>
              <w:t xml:space="preserve">im</w:t>
            </w:r>
            <w:r>
              <w:t xml:space="preserve"> </w:t>
            </w:r>
            <w:r>
              <w:rPr>
                <w:rStyle w:val="VerbatimChar"/>
              </w:rPr>
              <w:t xml:space="preserve">ai-module</w:t>
            </w:r>
            <w:r>
              <w:t xml:space="preserve"> </w:t>
            </w:r>
            <w:r>
              <w:t xml:space="preserve">erlaubt späteren Wechsel auf Anthropic oder ein lokales LLM (Ollama) ohne Refactoring der Use Cases.</w:t>
            </w:r>
          </w:p>
        </w:tc>
      </w:tr>
    </w:tbl>
    <w:bookmarkEnd w:id="25"/>
    <w:bookmarkStart w:id="26" w:name="release-planung"/>
    <w:p>
      <w:pPr>
        <w:pStyle w:val="Heading3"/>
      </w:pPr>
      <w:r>
        <w:t xml:space="preserve">4.3 Release-Planung</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Version</w:t>
            </w:r>
          </w:p>
        </w:tc>
        <w:tc>
          <w:tcPr/>
          <w:p>
            <w:pPr>
              <w:pStyle w:val="Compact"/>
            </w:pPr>
            <w:r>
              <w:t xml:space="preserve">Umfang</w:t>
            </w:r>
          </w:p>
        </w:tc>
      </w:tr>
      <w:tr>
        <w:tc>
          <w:tcPr/>
          <w:p>
            <w:pPr>
              <w:pStyle w:val="Compact"/>
            </w:pPr>
            <w:r>
              <w:rPr>
                <w:b/>
                <w:bCs/>
              </w:rPr>
              <w:t xml:space="preserve">Version 1 (MVP)</w:t>
            </w:r>
          </w:p>
        </w:tc>
        <w:tc>
          <w:tcPr/>
          <w:p>
            <w:pPr>
              <w:pStyle w:val="Compact"/>
            </w:pPr>
            <w:r>
              <w:t xml:space="preserve">Web-App: Punkteerfassung, Spielerverwaltung, Basis-Statistiken (Head-to-Head, Winner%, Serve%), Registrierung/Login via Keycloak</w:t>
            </w:r>
          </w:p>
        </w:tc>
      </w:tr>
      <w:tr>
        <w:tc>
          <w:tcPr/>
          <w:p>
            <w:pPr>
              <w:pStyle w:val="Compact"/>
            </w:pPr>
            <w:r>
              <w:rPr>
                <w:b/>
                <w:bCs/>
              </w:rPr>
              <w:t xml:space="preserve">Version 1.x</w:t>
            </w:r>
          </w:p>
        </w:tc>
        <w:tc>
          <w:tcPr/>
          <w:p>
            <w:pPr>
              <w:pStyle w:val="Compact"/>
            </w:pPr>
            <w:r>
              <w:t xml:space="preserve">KI-gestützte Match-Analyse (Postmortem): Coach generiert per Klick eine strukturierte taktische Auswertung nach Match-Ende (Schlüsselmomente, Stärken/Schwächen beider Spieler, 3–5 Empfehlungen)</w:t>
            </w:r>
          </w:p>
        </w:tc>
      </w:tr>
      <w:tr>
        <w:tc>
          <w:tcPr/>
          <w:p>
            <w:pPr>
              <w:pStyle w:val="Compact"/>
            </w:pPr>
            <w:r>
              <w:rPr>
                <w:b/>
                <w:bCs/>
              </w:rPr>
              <w:t xml:space="preserve">Version 2</w:t>
            </w:r>
          </w:p>
        </w:tc>
        <w:tc>
          <w:tcPr/>
          <w:p>
            <w:pPr>
              <w:pStyle w:val="Compact"/>
            </w:pPr>
            <w:r>
              <w:t xml:space="preserve">Google als federated IDP, erweiterte statistische Auswertungen, natives iOS-Frontend für iPad (Swift), KI-Live-Coaching während des Matches, KI-Vorbereitung auf einen Gegner (Head-to-Head-basiert)</w:t>
            </w:r>
          </w:p>
        </w:tc>
      </w:tr>
      <w:tr>
        <w:tc>
          <w:tcPr/>
          <w:p>
            <w:pPr>
              <w:pStyle w:val="Compact"/>
            </w:pPr>
            <w:r>
              <w:rPr>
                <w:b/>
                <w:bCs/>
              </w:rPr>
              <w:t xml:space="preserve">Version 3</w:t>
            </w:r>
          </w:p>
        </w:tc>
        <w:tc>
          <w:tcPr/>
          <w:p>
            <w:pPr>
              <w:pStyle w:val="Compact"/>
            </w:pPr>
            <w:r>
              <w:t xml:space="preserve">Aufsprungpunkte via Touch auf skizziertem Tennisfeld im UI</w:t>
            </w:r>
          </w:p>
        </w:tc>
      </w:tr>
      <w:tr>
        <w:tc>
          <w:tcPr/>
          <w:p>
            <w:pPr>
              <w:pStyle w:val="Compact"/>
            </w:pPr>
            <w:r>
              <w:rPr>
                <w:b/>
                <w:bCs/>
              </w:rPr>
              <w:t xml:space="preserve">Version 4</w:t>
            </w:r>
          </w:p>
        </w:tc>
        <w:tc>
          <w:tcPr/>
          <w:p>
            <w:pPr>
              <w:pStyle w:val="Compact"/>
            </w:pPr>
            <w:r>
              <w:t xml:space="preserve">Integration Swisstennis-API (falls möglich)</w:t>
            </w:r>
          </w:p>
        </w:tc>
      </w:tr>
      <w:tr>
        <w:tc>
          <w:tcPr/>
          <w:p>
            <w:pPr>
              <w:pStyle w:val="Compact"/>
            </w:pPr>
            <w:r>
              <w:rPr>
                <w:b/>
                <w:bCs/>
              </w:rPr>
              <w:t xml:space="preserve">Version 5</w:t>
            </w:r>
          </w:p>
        </w:tc>
        <w:tc>
          <w:tcPr/>
          <w:p>
            <w:pPr>
              <w:pStyle w:val="Compact"/>
            </w:pPr>
            <w:r>
              <w:t xml:space="preserve">Kameraanbindung für automatische Aufsprungpunkt-Erfassung („Hawk Eye very light”)</w:t>
            </w:r>
          </w:p>
        </w:tc>
      </w:tr>
    </w:tbl>
    <w:p>
      <w:r>
        <w:pict>
          <v:rect style="width:0;height:1.5pt" o:hralign="center" o:hrstd="t" o:hr="t"/>
        </w:pict>
      </w:r>
    </w:p>
    <w:bookmarkEnd w:id="26"/>
    <w:bookmarkEnd w:id="27"/>
    <w:bookmarkStart w:id="39" w:name="bausteinsicht"/>
    <w:p>
      <w:pPr>
        <w:pStyle w:val="Heading2"/>
      </w:pPr>
      <w:r>
        <w:t xml:space="preserve">5. Bausteinsicht</w:t>
      </w:r>
    </w:p>
    <w:bookmarkStart w:id="28" w:name="whitebox-gesamtsystem"/>
    <w:p>
      <w:pPr>
        <w:pStyle w:val="Heading3"/>
      </w:pPr>
      <w:r>
        <w:t xml:space="preserve">5.1 Whitebox Gesamtsystem</w:t>
      </w:r>
    </w:p>
    <w:p>
      <w:pPr>
        <w:pStyle w:val="FirstParagraph"/>
      </w:pPr>
      <w:r>
        <w:t xml:space="preserve">Das Gesamtsystem besteht aus drei Hauptbereichen, die als Docker-Container deployed werden:</w:t>
      </w:r>
    </w:p>
    <w:p>
      <w:pPr>
        <w:pStyle w:val="BodyText"/>
      </w:pPr>
      <w:r>
        <w:rPr>
          <w:b/>
          <w:bCs/>
        </w:rPr>
        <w:t xml:space="preserve">Container 1 – TSaS Application:</w:t>
      </w:r>
      <w:r>
        <w:t xml:space="preserve"> </w:t>
      </w:r>
      <w:r>
        <w:t xml:space="preserve">Enthält sowohl das Angular-Frontend (ausgeliefert via Node.js) als auch das Spring Boot Backend als zwei eigenständige Services.</w:t>
      </w:r>
    </w:p>
    <w:p>
      <w:pPr>
        <w:pStyle w:val="BodyText"/>
      </w:pPr>
      <w:r>
        <w:rPr>
          <w:b/>
          <w:bCs/>
        </w:rPr>
        <w:t xml:space="preserve">Container 2 – PostgreSQL Database:</w:t>
      </w:r>
      <w:r>
        <w:t xml:space="preserve"> </w:t>
      </w:r>
      <w:r>
        <w:t xml:space="preserve">Persistenz aller Applikationsdaten.</w:t>
      </w:r>
    </w:p>
    <w:p>
      <w:pPr>
        <w:pStyle w:val="BodyText"/>
      </w:pPr>
      <w:r>
        <w:rPr>
          <w:b/>
          <w:bCs/>
        </w:rPr>
        <w:t xml:space="preserve">Container 3 – Keycloak:</w:t>
      </w:r>
      <w:r>
        <w:t xml:space="preserve"> </w:t>
      </w:r>
      <w:r>
        <w:t xml:space="preserve">Identity Provider für Authentifizierung und Autorisierung.</w:t>
      </w:r>
    </w:p>
    <w:bookmarkEnd w:id="28"/>
    <w:bookmarkStart w:id="33" w:name="backend-module-modularer-monolith"/>
    <w:p>
      <w:pPr>
        <w:pStyle w:val="Heading3"/>
      </w:pPr>
      <w:r>
        <w:t xml:space="preserve">5.2 Backend-Module (Modularer Monolith)</w:t>
      </w:r>
    </w:p>
    <w:p>
      <w:pPr>
        <w:pStyle w:val="FirstParagraph"/>
      </w:pPr>
      <w:r>
        <w:t xml:space="preserve">Das Spring Boot Backend ist intern in fachliche Module aufgeteilt. Jedes Modul kapselt seine Domänenlogik, seine Repositories und seine REST-Endpunkte.</w:t>
      </w:r>
    </w:p>
    <w:tbl>
      <w:tblPr>
        <w:tblStyle w:val="Table"/>
        <w:tblW w:type="pct" w:w="5000"/>
        <w:tblLayout w:type="fixed"/>
        <w:tblLook w:firstRow="1" w:lastRow="0" w:firstColumn="0" w:lastColumn="0" w:noHBand="0" w:noVBand="0" w:val="0020"/>
      </w:tblPr>
      <w:tblGrid>
        <w:gridCol w:w="2132"/>
        <w:gridCol w:w="5787"/>
      </w:tblGrid>
      <w:tr>
        <w:trPr>
          <w:tblHeader w:val="on"/>
        </w:trPr>
        <w:tc>
          <w:tcPr/>
          <w:p>
            <w:pPr>
              <w:pStyle w:val="Compact"/>
            </w:pPr>
            <w:r>
              <w:t xml:space="preserve">Modul</w:t>
            </w:r>
          </w:p>
        </w:tc>
        <w:tc>
          <w:tcPr/>
          <w:p>
            <w:pPr>
              <w:pStyle w:val="Compact"/>
            </w:pPr>
            <w:r>
              <w:t xml:space="preserve">Verantwortlichkeit</w:t>
            </w:r>
          </w:p>
        </w:tc>
      </w:tr>
      <w:tr>
        <w:tc>
          <w:tcPr/>
          <w:p>
            <w:pPr>
              <w:pStyle w:val="Compact"/>
            </w:pPr>
            <w:r>
              <w:rPr>
                <w:rStyle w:val="VerbatimChar"/>
              </w:rPr>
              <w:t xml:space="preserve">player-module</w:t>
            </w:r>
          </w:p>
        </w:tc>
        <w:tc>
          <w:tcPr/>
          <w:p>
            <w:pPr>
              <w:pStyle w:val="Compact"/>
            </w:pPr>
            <w:r>
              <w:t xml:space="preserve">Verwaltung von Spielerprofilen (Name, Geschlecht, Ranking, Spielhand, Backhand-Typ). CRUD-Operationen und Suchfunktionalität.</w:t>
            </w:r>
          </w:p>
        </w:tc>
      </w:tr>
      <w:tr>
        <w:tc>
          <w:tcPr/>
          <w:p>
            <w:pPr>
              <w:pStyle w:val="Compact"/>
            </w:pPr>
            <w:r>
              <w:rPr>
                <w:rStyle w:val="VerbatimChar"/>
              </w:rPr>
              <w:t xml:space="preserve">match-module</w:t>
            </w:r>
          </w:p>
        </w:tc>
        <w:tc>
          <w:tcPr/>
          <w:p>
            <w:pPr>
              <w:pStyle w:val="Compact"/>
            </w:pPr>
            <w:r>
              <w:t xml:space="preserve">Erstellen und Verwalten von Begegnungen (Matches) mit Attributen wie Anzahl Gewinnsätze, Match-Tiebreak, Short Set; Verwaltung der Sets und Spiele.</w:t>
            </w:r>
            <w:r>
              <w:t xml:space="preserve"> </w:t>
            </w:r>
            <w:r>
              <w:rPr>
                <w:b/>
                <w:bCs/>
              </w:rPr>
              <w:t xml:space="preserve">Umfasst auch das Scoring</w:t>
            </w:r>
            <w:r>
              <w:t xml:space="preserve"> </w:t>
            </w:r>
            <w:r>
              <w:t xml:space="preserve">(Tennis-Zählregeln in</w:t>
            </w:r>
            <w:r>
              <w:t xml:space="preserve"> </w:t>
            </w:r>
            <w:r>
              <w:rPr>
                <w:rStyle w:val="VerbatimChar"/>
              </w:rPr>
              <w:t xml:space="preserve">ScoringService</w:t>
            </w:r>
            <w:r>
              <w:t xml:space="preserve">, Punkterfassung Punkt-für-Punkt, fixe Attribute wie Forehand Winner, Ace, Double Fault, freie Bemerkungen). Das ursprünglich separat geplante</w:t>
            </w:r>
            <w:r>
              <w:t xml:space="preserve"> </w:t>
            </w:r>
            <w:r>
              <w:rPr>
                <w:rStyle w:val="VerbatimChar"/>
              </w:rPr>
              <w:t xml:space="preserve">scoring-module</w:t>
            </w:r>
            <w:r>
              <w:t xml:space="preserve"> </w:t>
            </w:r>
            <w:r>
              <w:t xml:space="preserve">wurde hier konsolidiert, da Scoring das Kernverhalten eines Matches ist und eng an dessen Zustand koppelt (siehe ADR-12).</w:t>
            </w:r>
          </w:p>
        </w:tc>
      </w:tr>
      <w:tr>
        <w:tc>
          <w:tcPr/>
          <w:p>
            <w:pPr>
              <w:pStyle w:val="Compact"/>
            </w:pPr>
            <w:r>
              <w:rPr>
                <w:rStyle w:val="VerbatimChar"/>
              </w:rPr>
              <w:t xml:space="preserve">statistics-module</w:t>
            </w:r>
          </w:p>
        </w:tc>
        <w:tc>
          <w:tcPr/>
          <w:p>
            <w:pPr>
              <w:pStyle w:val="Compact"/>
            </w:pPr>
            <w:r>
              <w:t xml:space="preserve">Berechnung und Bereitstellung von Statistiken: Head-to-Head, Winner%, Unforced Error%, First/Second Serve%, Double Faults, Aces. Aggregierte Match-Statistiken werden on-the-fly aus Points berechnet und sowohl an die REST-Schicht als auch an das</w:t>
            </w:r>
            <w:r>
              <w:t xml:space="preserve"> </w:t>
            </w:r>
            <w:r>
              <w:rPr>
                <w:rStyle w:val="VerbatimChar"/>
              </w:rPr>
              <w:t xml:space="preserve">ai-module</w:t>
            </w:r>
            <w:r>
              <w:t xml:space="preserve"> </w:t>
            </w:r>
            <w:r>
              <w:t xml:space="preserve">als Input geliefert. Abhängig von</w:t>
            </w:r>
            <w:r>
              <w:t xml:space="preserve"> </w:t>
            </w:r>
            <w:r>
              <w:rPr>
                <w:rStyle w:val="VerbatimChar"/>
              </w:rPr>
              <w:t xml:space="preserve">player-module</w:t>
            </w:r>
            <w:r>
              <w:t xml:space="preserve"> </w:t>
            </w:r>
            <w:r>
              <w:t xml:space="preserve">(Spieler-Existenzprüfung → HTTP 404). REST:</w:t>
            </w:r>
            <w:r>
              <w:t xml:space="preserve"> </w:t>
            </w:r>
            <w:r>
              <w:rPr>
                <w:rStyle w:val="VerbatimChar"/>
              </w:rPr>
              <w:t xml:space="preserve">GET /api/statistics/head-to-head</w:t>
            </w:r>
            <w:r>
              <w:t xml:space="preserve"> </w:t>
            </w:r>
            <w:r>
              <w:t xml:space="preserve">(FA-08),</w:t>
            </w:r>
            <w:r>
              <w:t xml:space="preserve"> </w:t>
            </w:r>
            <w:r>
              <w:rPr>
                <w:rStyle w:val="VerbatimChar"/>
              </w:rPr>
              <w:t xml:space="preserve">GET /api/matches/{id}/statistics</w:t>
            </w:r>
            <w:r>
              <w:t xml:space="preserve"> </w:t>
            </w:r>
            <w:r>
              <w:t xml:space="preserve">(Einzel-Match, FA-17).</w:t>
            </w:r>
          </w:p>
        </w:tc>
      </w:tr>
      <w:tr>
        <w:tc>
          <w:tcPr/>
          <w:p>
            <w:pPr>
              <w:pStyle w:val="Compact"/>
            </w:pPr>
            <w:r>
              <w:rPr>
                <w:rStyle w:val="VerbatimChar"/>
              </w:rPr>
              <w:t xml:space="preserve">auth-module</w:t>
            </w:r>
          </w:p>
        </w:tc>
        <w:tc>
          <w:tcPr/>
          <w:p>
            <w:pPr>
              <w:pStyle w:val="Compact"/>
            </w:pPr>
            <w:r>
              <w:t xml:space="preserve">Integration mit Keycloak. Token-Validierung, Rollenprüfung, Benutzerverwaltung.</w:t>
            </w:r>
          </w:p>
        </w:tc>
      </w:tr>
      <w:tr>
        <w:tc>
          <w:tcPr/>
          <w:p>
            <w:pPr>
              <w:pStyle w:val="Compact"/>
            </w:pPr>
            <w:r>
              <w:rPr>
                <w:rStyle w:val="VerbatimChar"/>
              </w:rPr>
              <w:t xml:space="preserve">ai-module</w:t>
            </w:r>
          </w:p>
        </w:tc>
        <w:tc>
          <w:tcPr/>
          <w:p>
            <w:pPr>
              <w:pStyle w:val="Compact"/>
            </w:pPr>
            <w:r>
              <w:t xml:space="preserve">KI-gestützte Match-Analyse. Konsumiert</w:t>
            </w:r>
            <w:r>
              <w:t xml:space="preserve"> </w:t>
            </w:r>
            <w:r>
              <w:rPr>
                <w:rStyle w:val="VerbatimChar"/>
              </w:rPr>
              <w:t xml:space="preserve">statistics-module</w:t>
            </w:r>
            <w:r>
              <w:t xml:space="preserve"> </w:t>
            </w:r>
            <w:r>
              <w:t xml:space="preserve">(aggregierte Stats) und</w:t>
            </w:r>
            <w:r>
              <w:t xml:space="preserve"> </w:t>
            </w:r>
            <w:r>
              <w:rPr>
                <w:rStyle w:val="VerbatimChar"/>
              </w:rPr>
              <w:t xml:space="preserve">player-module</w:t>
            </w:r>
            <w:r>
              <w:t xml:space="preserve"> </w:t>
            </w:r>
            <w:r>
              <w:t xml:space="preserve">(Spielerdaten als Kontext), ruft via</w:t>
            </w:r>
            <w:r>
              <w:t xml:space="preserve"> </w:t>
            </w:r>
            <w:r>
              <w:rPr>
                <w:rStyle w:val="VerbatimChar"/>
              </w:rPr>
              <w:t xml:space="preserve">LlmClientPort</w:t>
            </w:r>
            <w:r>
              <w:t xml:space="preserve"> </w:t>
            </w:r>
            <w:r>
              <w:t xml:space="preserve">ein LLM (Default OpenAI) und persistiert das Ergebnis als</w:t>
            </w:r>
            <w:r>
              <w:t xml:space="preserve"> </w:t>
            </w:r>
            <w:r>
              <w:rPr>
                <w:rStyle w:val="VerbatimChar"/>
              </w:rPr>
              <w:t xml:space="preserve">MatchAnalysis</w:t>
            </w:r>
            <w:r>
              <w:t xml:space="preserve"> </w:t>
            </w:r>
            <w:r>
              <w:t xml:space="preserve">(1:1 zum Match, überschreibbar). REST:</w:t>
            </w:r>
            <w:r>
              <w:t xml:space="preserve"> </w:t>
            </w:r>
            <w:r>
              <w:rPr>
                <w:rStyle w:val="VerbatimChar"/>
              </w:rPr>
              <w:t xml:space="preserve">POST/GET /api/matches/{id}/analysis</w:t>
            </w:r>
            <w:r>
              <w:t xml:space="preserve">.</w:t>
            </w:r>
          </w:p>
        </w:tc>
      </w:tr>
      <w:tr>
        <w:tc>
          <w:tcPr/>
          <w:p>
            <w:pPr>
              <w:pStyle w:val="Compact"/>
            </w:pPr>
            <w:r>
              <w:rPr>
                <w:rStyle w:val="VerbatimChar"/>
              </w:rPr>
              <w:t xml:space="preserve">common-module</w:t>
            </w:r>
          </w:p>
        </w:tc>
        <w:tc>
          <w:tcPr/>
          <w:p>
            <w:pPr>
              <w:pStyle w:val="Compact"/>
            </w:pPr>
            <w:r>
              <w:t xml:space="preserve">Shared Kernel mit gemeinsamen DTOs, Exceptions, Konfigurationen und Utilities.</w:t>
            </w:r>
          </w:p>
        </w:tc>
      </w:tr>
    </w:tbl>
    <w:p>
      <w:pPr>
        <w:pStyle w:val="CaptionedFigure"/>
      </w:pPr>
      <w:r>
        <w:drawing>
          <wp:inline>
            <wp:extent cx="5334000" cy="2876721"/>
            <wp:effectExtent b="0" l="0" r="0" t="0"/>
            <wp:docPr descr="TSaS Backend – Fachliche Module" title="" id="30" name="Picture"/>
            <a:graphic>
              <a:graphicData uri="http://schemas.openxmlformats.org/drawingml/2006/picture">
                <pic:pic>
                  <pic:nvPicPr>
                    <pic:cNvPr descr="Backend_Module.png" id="31" name="Picture"/>
                    <pic:cNvPicPr>
                      <a:picLocks noChangeArrowheads="1" noChangeAspect="1"/>
                    </pic:cNvPicPr>
                  </pic:nvPicPr>
                  <pic:blipFill>
                    <a:blip r:embed="rId29"/>
                    <a:stretch>
                      <a:fillRect/>
                    </a:stretch>
                  </pic:blipFill>
                  <pic:spPr bwMode="auto">
                    <a:xfrm>
                      <a:off x="0" y="0"/>
                      <a:ext cx="5334000" cy="2876721"/>
                    </a:xfrm>
                    <a:prstGeom prst="rect">
                      <a:avLst/>
                    </a:prstGeom>
                    <a:noFill/>
                    <a:ln w="9525">
                      <a:noFill/>
                      <a:headEnd/>
                      <a:tailEnd/>
                    </a:ln>
                  </pic:spPr>
                </pic:pic>
              </a:graphicData>
            </a:graphic>
          </wp:inline>
        </w:drawing>
      </w:r>
    </w:p>
    <w:p>
      <w:pPr>
        <w:pStyle w:val="ImageCaption"/>
      </w:pPr>
      <w:r>
        <w:t xml:space="preserve">TSaS Backend – Fachliche Module</w:t>
      </w:r>
    </w:p>
    <w:p>
      <w:pPr>
        <w:pStyle w:val="BodyText"/>
      </w:pPr>
      <w:r>
        <w:rPr>
          <w:i/>
          <w:iCs/>
        </w:rPr>
        <w:t xml:space="preserve">Quelle:</w:t>
      </w:r>
      <w:r>
        <w:rPr>
          <w:i/>
          <w:iCs/>
        </w:rPr>
        <w:t xml:space="preserve"> </w:t>
      </w:r>
      <w:hyperlink r:id="rId32">
        <w:r>
          <w:rPr>
            <w:rStyle w:val="VerbatimChar"/>
            <w:i/>
            <w:iCs/>
          </w:rPr>
          <w:t xml:space="preserve">diagrams/TSaS_Backend_Module.drawio</w:t>
        </w:r>
      </w:hyperlink>
    </w:p>
    <w:bookmarkEnd w:id="33"/>
    <w:bookmarkStart w:id="38" w:name="Xdde48f936cf8430c2326803bb37fe317373f62f"/>
    <w:p>
      <w:pPr>
        <w:pStyle w:val="Heading3"/>
      </w:pPr>
      <w:r>
        <w:t xml:space="preserve">5.3 Backend – Clean Architecture (Schichten &amp; Ports)</w:t>
      </w:r>
    </w:p>
    <w:p>
      <w:pPr>
        <w:pStyle w:val="FirstParagraph"/>
      </w:pPr>
      <w:r>
        <w:t xml:space="preserve">Jedes fachliche Modul ist intern nach Clean Architecture / Ports &amp; Adapters aufgebaut. Die Abhängigkeiten zeigen stets von aussen nach innen:</w:t>
      </w:r>
      <w:r>
        <w:t xml:space="preserve"> </w:t>
      </w:r>
      <w:r>
        <w:rPr>
          <w:b/>
          <w:bCs/>
        </w:rPr>
        <w:t xml:space="preserve">Infrastructure → Application → Domain</w:t>
      </w:r>
      <w:r>
        <w:t xml:space="preserve">. Die Domain bleibt frei von Framework-Abhängigkeiten.</w:t>
      </w:r>
    </w:p>
    <w:p>
      <w:pPr>
        <w:pStyle w:val="Compact"/>
        <w:numPr>
          <w:ilvl w:val="0"/>
          <w:numId w:val="1003"/>
        </w:numPr>
      </w:pPr>
      <w:r>
        <w:rPr>
          <w:b/>
          <w:bCs/>
        </w:rPr>
        <w:t xml:space="preserve">Domain</w:t>
      </w:r>
      <w:r>
        <w:t xml:space="preserve"> </w:t>
      </w:r>
      <w:r>
        <w:t xml:space="preserve">– Modelle und Geschäftsregeln (z. B.</w:t>
      </w:r>
      <w:r>
        <w:t xml:space="preserve"> </w:t>
      </w:r>
      <w:r>
        <w:rPr>
          <w:rStyle w:val="VerbatimChar"/>
        </w:rPr>
        <w:t xml:space="preserve">Player</w:t>
      </w:r>
      <w:r>
        <w:t xml:space="preserve">,</w:t>
      </w:r>
      <w:r>
        <w:t xml:space="preserve"> </w:t>
      </w:r>
      <w:r>
        <w:rPr>
          <w:rStyle w:val="VerbatimChar"/>
        </w:rPr>
        <w:t xml:space="preserve">Match</w:t>
      </w:r>
      <w:r>
        <w:t xml:space="preserve">,</w:t>
      </w:r>
      <w:r>
        <w:t xml:space="preserve"> </w:t>
      </w:r>
      <w:r>
        <w:rPr>
          <w:rStyle w:val="VerbatimChar"/>
        </w:rPr>
        <w:t xml:space="preserve">Point</w:t>
      </w:r>
      <w:r>
        <w:t xml:space="preserve">,</w:t>
      </w:r>
      <w:r>
        <w:t xml:space="preserve"> </w:t>
      </w:r>
      <w:r>
        <w:rPr>
          <w:rStyle w:val="VerbatimChar"/>
        </w:rPr>
        <w:t xml:space="preserve">MatchScore</w:t>
      </w:r>
      <w:r>
        <w:t xml:space="preserve">,</w:t>
      </w:r>
      <w:r>
        <w:t xml:space="preserve"> </w:t>
      </w:r>
      <w:r>
        <w:rPr>
          <w:rStyle w:val="VerbatimChar"/>
        </w:rPr>
        <w:t xml:space="preserve">MatchStatistics</w:t>
      </w:r>
      <w:r>
        <w:t xml:space="preserve">,</w:t>
      </w:r>
      <w:r>
        <w:t xml:space="preserve"> </w:t>
      </w:r>
      <w:r>
        <w:rPr>
          <w:rStyle w:val="VerbatimChar"/>
        </w:rPr>
        <w:t xml:space="preserve">MatchAnalysis</w:t>
      </w:r>
      <w:r>
        <w:t xml:space="preserve">), ohne Spring-/JPA-Abhängigkeiten.</w:t>
      </w:r>
    </w:p>
    <w:p>
      <w:pPr>
        <w:pStyle w:val="Compact"/>
        <w:numPr>
          <w:ilvl w:val="0"/>
          <w:numId w:val="1003"/>
        </w:numPr>
      </w:pPr>
      <w:r>
        <w:rPr>
          <w:b/>
          <w:bCs/>
        </w:rPr>
        <w:t xml:space="preserve">Application</w:t>
      </w:r>
      <w:r>
        <w:t xml:space="preserve"> </w:t>
      </w:r>
      <w:r>
        <w:t xml:space="preserve">– Use-Case-Interfaces (</w:t>
      </w:r>
      <w:r>
        <w:rPr>
          <w:rStyle w:val="VerbatimChar"/>
        </w:rPr>
        <w:t xml:space="preserve">port/in</w:t>
      </w:r>
      <w:r>
        <w:t xml:space="preserve">, z. B.</w:t>
      </w:r>
      <w:r>
        <w:t xml:space="preserve"> </w:t>
      </w:r>
      <w:r>
        <w:rPr>
          <w:rStyle w:val="VerbatimChar"/>
        </w:rPr>
        <w:t xml:space="preserve">CreatePlayerUseCase</w:t>
      </w:r>
      <w:r>
        <w:t xml:space="preserve">,</w:t>
      </w:r>
      <w:r>
        <w:t xml:space="preserve"> </w:t>
      </w:r>
      <w:r>
        <w:rPr>
          <w:rStyle w:val="VerbatimChar"/>
        </w:rPr>
        <w:t xml:space="preserve">RecordPointUseCase</w:t>
      </w:r>
      <w:r>
        <w:t xml:space="preserve">,</w:t>
      </w:r>
      <w:r>
        <w:t xml:space="preserve"> </w:t>
      </w:r>
      <w:r>
        <w:rPr>
          <w:rStyle w:val="VerbatimChar"/>
        </w:rPr>
        <w:t xml:space="preserve">ComputeHeadToHeadStatisticsUseCase</w:t>
      </w:r>
      <w:r>
        <w:t xml:space="preserve">,</w:t>
      </w:r>
      <w:r>
        <w:t xml:space="preserve"> </w:t>
      </w:r>
      <w:r>
        <w:rPr>
          <w:rStyle w:val="VerbatimChar"/>
        </w:rPr>
        <w:t xml:space="preserve">GenerateMatchAnalysisUseCase</w:t>
      </w:r>
      <w:r>
        <w:t xml:space="preserve">), deren</w:t>
      </w:r>
      <w:r>
        <w:t xml:space="preserve"> </w:t>
      </w:r>
      <w:r>
        <w:rPr>
          <w:rStyle w:val="VerbatimChar"/>
        </w:rPr>
        <w:t xml:space="preserve">@Service</w:t>
      </w:r>
      <w:r>
        <w:t xml:space="preserve">-Implementierungen (</w:t>
      </w:r>
      <w:r>
        <w:rPr>
          <w:rStyle w:val="VerbatimChar"/>
        </w:rPr>
        <w:t xml:space="preserve">PlayerService</w:t>
      </w:r>
      <w:r>
        <w:t xml:space="preserve">,</w:t>
      </w:r>
      <w:r>
        <w:t xml:space="preserve"> </w:t>
      </w:r>
      <w:r>
        <w:rPr>
          <w:rStyle w:val="VerbatimChar"/>
        </w:rPr>
        <w:t xml:space="preserve">MatchService</w:t>
      </w:r>
      <w:r>
        <w:t xml:space="preserve">,</w:t>
      </w:r>
      <w:r>
        <w:t xml:space="preserve"> </w:t>
      </w:r>
      <w:r>
        <w:rPr>
          <w:rStyle w:val="VerbatimChar"/>
        </w:rPr>
        <w:t xml:space="preserve">ScoringService</w:t>
      </w:r>
      <w:r>
        <w:t xml:space="preserve">,</w:t>
      </w:r>
      <w:r>
        <w:t xml:space="preserve"> </w:t>
      </w:r>
      <w:r>
        <w:rPr>
          <w:rStyle w:val="VerbatimChar"/>
        </w:rPr>
        <w:t xml:space="preserve">MatchStatisticsService</w:t>
      </w:r>
      <w:r>
        <w:t xml:space="preserve">,</w:t>
      </w:r>
      <w:r>
        <w:t xml:space="preserve"> </w:t>
      </w:r>
      <w:r>
        <w:rPr>
          <w:rStyle w:val="VerbatimChar"/>
        </w:rPr>
        <w:t xml:space="preserve">HeadToHeadStatisticsService</w:t>
      </w:r>
      <w:r>
        <w:t xml:space="preserve">,</w:t>
      </w:r>
      <w:r>
        <w:t xml:space="preserve"> </w:t>
      </w:r>
      <w:r>
        <w:rPr>
          <w:rStyle w:val="VerbatimChar"/>
        </w:rPr>
        <w:t xml:space="preserve">MatchAnalysisService</w:t>
      </w:r>
      <w:r>
        <w:t xml:space="preserve">) sowie die Output-Ports (</w:t>
      </w:r>
      <w:r>
        <w:rPr>
          <w:rStyle w:val="VerbatimChar"/>
        </w:rPr>
        <w:t xml:space="preserve">port/out</w:t>
      </w:r>
      <w:r>
        <w:t xml:space="preserve">, z. B.</w:t>
      </w:r>
      <w:r>
        <w:t xml:space="preserve"> </w:t>
      </w:r>
      <w:r>
        <w:rPr>
          <w:rStyle w:val="VerbatimChar"/>
        </w:rPr>
        <w:t xml:space="preserve">LoadPlayerPort</w:t>
      </w:r>
      <w:r>
        <w:t xml:space="preserve">,</w:t>
      </w:r>
      <w:r>
        <w:t xml:space="preserve"> </w:t>
      </w:r>
      <w:r>
        <w:rPr>
          <w:rStyle w:val="VerbatimChar"/>
        </w:rPr>
        <w:t xml:space="preserve">SaveMatchScorePort</w:t>
      </w:r>
      <w:r>
        <w:t xml:space="preserve">,</w:t>
      </w:r>
      <w:r>
        <w:t xml:space="preserve"> </w:t>
      </w:r>
      <w:r>
        <w:rPr>
          <w:rStyle w:val="VerbatimChar"/>
        </w:rPr>
        <w:t xml:space="preserve">LoadPointsByMatchPort</w:t>
      </w:r>
      <w:r>
        <w:t xml:space="preserve">,</w:t>
      </w:r>
      <w:r>
        <w:t xml:space="preserve"> </w:t>
      </w:r>
      <w:r>
        <w:rPr>
          <w:rStyle w:val="VerbatimChar"/>
        </w:rPr>
        <w:t xml:space="preserve">LlmClientPort</w:t>
      </w:r>
      <w:r>
        <w:t xml:space="preserve">).</w:t>
      </w:r>
    </w:p>
    <w:p>
      <w:pPr>
        <w:pStyle w:val="Compact"/>
        <w:numPr>
          <w:ilvl w:val="0"/>
          <w:numId w:val="1003"/>
        </w:numPr>
      </w:pPr>
      <w:r>
        <w:rPr>
          <w:b/>
          <w:bCs/>
        </w:rPr>
        <w:t xml:space="preserve">Infrastructure</w:t>
      </w:r>
      <w:r>
        <w:t xml:space="preserve"> </w:t>
      </w:r>
      <w:r>
        <w:t xml:space="preserve">– Adapter: REST-Controller (</w:t>
      </w:r>
      <w:r>
        <w:rPr>
          <w:rStyle w:val="VerbatimChar"/>
        </w:rPr>
        <w:t xml:space="preserve">web</w:t>
      </w:r>
      <w:r>
        <w:t xml:space="preserve">), JPA-Persistenz-Adapter (</w:t>
      </w:r>
      <w:r>
        <w:rPr>
          <w:rStyle w:val="VerbatimChar"/>
        </w:rPr>
        <w:t xml:space="preserve">persistence</w:t>
      </w:r>
      <w:r>
        <w:t xml:space="preserve">), LLM-Adapter (</w:t>
      </w:r>
      <w:r>
        <w:rPr>
          <w:rStyle w:val="VerbatimChar"/>
        </w:rPr>
        <w:t xml:space="preserve">OpenAiLlmAdapter</w:t>
      </w:r>
      <w:r>
        <w:t xml:space="preserve"> </w:t>
      </w:r>
      <w:r>
        <w:t xml:space="preserve">/</w:t>
      </w:r>
      <w:r>
        <w:t xml:space="preserve"> </w:t>
      </w:r>
      <w:r>
        <w:rPr>
          <w:rStyle w:val="VerbatimChar"/>
        </w:rPr>
        <w:t xml:space="preserve">FakeLlmClientAdapter</w:t>
      </w:r>
      <w:r>
        <w:t xml:space="preserve">) sowie Security/Config.</w:t>
      </w:r>
    </w:p>
    <w:p>
      <w:pPr>
        <w:pStyle w:val="FirstParagraph"/>
      </w:pPr>
      <w:r>
        <w:t xml:space="preserve">Die Austauschbarkeit über Ports zeigt sich exemplarisch am</w:t>
      </w:r>
      <w:r>
        <w:t xml:space="preserve"> </w:t>
      </w:r>
      <w:r>
        <w:rPr>
          <w:rStyle w:val="VerbatimChar"/>
        </w:rPr>
        <w:t xml:space="preserve">LlmClientPort</w:t>
      </w:r>
      <w:r>
        <w:t xml:space="preserve">: Der produktive</w:t>
      </w:r>
      <w:r>
        <w:t xml:space="preserve"> </w:t>
      </w:r>
      <w:r>
        <w:rPr>
          <w:rStyle w:val="VerbatimChar"/>
        </w:rPr>
        <w:t xml:space="preserve">OpenAiLlmAdapter</w:t>
      </w:r>
      <w:r>
        <w:t xml:space="preserve"> </w:t>
      </w:r>
      <w:r>
        <w:t xml:space="preserve">(Spring AI) und der deterministische</w:t>
      </w:r>
      <w:r>
        <w:t xml:space="preserve"> </w:t>
      </w:r>
      <w:r>
        <w:rPr>
          <w:rStyle w:val="VerbatimChar"/>
        </w:rPr>
        <w:t xml:space="preserve">FakeLlmClientAdapter</w:t>
      </w:r>
      <w:r>
        <w:t xml:space="preserve"> </w:t>
      </w:r>
      <w:r>
        <w:t xml:space="preserve">(für Tests und Entwicklung ohne API-Key) implementieren denselben Port — der Use Case bleibt unverändert.</w:t>
      </w:r>
    </w:p>
    <w:p>
      <w:pPr>
        <w:pStyle w:val="CaptionedFigure"/>
      </w:pPr>
      <w:r>
        <w:drawing>
          <wp:inline>
            <wp:extent cx="5334000" cy="3488096"/>
            <wp:effectExtent b="0" l="0" r="0" t="0"/>
            <wp:docPr descr="TSaS Backend – Clean Architecture (Klassen-Detail)" title="" id="35" name="Picture"/>
            <a:graphic>
              <a:graphicData uri="http://schemas.openxmlformats.org/drawingml/2006/picture">
                <pic:pic>
                  <pic:nvPicPr>
                    <pic:cNvPr descr="Backend_CleanArchitecture.png" id="36" name="Picture"/>
                    <pic:cNvPicPr>
                      <a:picLocks noChangeArrowheads="1" noChangeAspect="1"/>
                    </pic:cNvPicPr>
                  </pic:nvPicPr>
                  <pic:blipFill>
                    <a:blip r:embed="rId34"/>
                    <a:stretch>
                      <a:fillRect/>
                    </a:stretch>
                  </pic:blipFill>
                  <pic:spPr bwMode="auto">
                    <a:xfrm>
                      <a:off x="0" y="0"/>
                      <a:ext cx="5334000" cy="3488096"/>
                    </a:xfrm>
                    <a:prstGeom prst="rect">
                      <a:avLst/>
                    </a:prstGeom>
                    <a:noFill/>
                    <a:ln w="9525">
                      <a:noFill/>
                      <a:headEnd/>
                      <a:tailEnd/>
                    </a:ln>
                  </pic:spPr>
                </pic:pic>
              </a:graphicData>
            </a:graphic>
          </wp:inline>
        </w:drawing>
      </w:r>
    </w:p>
    <w:p>
      <w:pPr>
        <w:pStyle w:val="ImageCaption"/>
      </w:pPr>
      <w:r>
        <w:t xml:space="preserve">TSaS Backend – Clean Architecture (Klassen-Detail)</w:t>
      </w:r>
    </w:p>
    <w:p>
      <w:pPr>
        <w:pStyle w:val="BodyText"/>
      </w:pPr>
      <w:r>
        <w:rPr>
          <w:i/>
          <w:iCs/>
        </w:rPr>
        <w:t xml:space="preserve">Quelle:</w:t>
      </w:r>
      <w:r>
        <w:rPr>
          <w:i/>
          <w:iCs/>
        </w:rPr>
        <w:t xml:space="preserve"> </w:t>
      </w:r>
      <w:hyperlink r:id="rId37">
        <w:r>
          <w:rPr>
            <w:rStyle w:val="VerbatimChar"/>
            <w:i/>
            <w:iCs/>
          </w:rPr>
          <w:t xml:space="preserve">diagrams/TSaS_Backend_CleanArchitecture.drawio</w:t>
        </w:r>
      </w:hyperlink>
    </w:p>
    <w:p>
      <w:r>
        <w:pict>
          <v:rect style="width:0;height:1.5pt" o:hralign="center" o:hrstd="t" o:hr="t"/>
        </w:pict>
      </w:r>
    </w:p>
    <w:bookmarkEnd w:id="38"/>
    <w:bookmarkEnd w:id="39"/>
    <w:bookmarkStart w:id="51" w:name="laufzeitsicht"/>
    <w:p>
      <w:pPr>
        <w:pStyle w:val="Heading2"/>
      </w:pPr>
      <w:r>
        <w:t xml:space="preserve">6. Laufzeitsicht</w:t>
      </w:r>
    </w:p>
    <w:bookmarkStart w:id="44" w:name="szenario-punkt-erfassen"/>
    <w:p>
      <w:pPr>
        <w:pStyle w:val="Heading3"/>
      </w:pPr>
      <w:r>
        <w:t xml:space="preserve">6.1 Szenario: Punkt erfassen</w:t>
      </w:r>
    </w:p>
    <w:p>
      <w:pPr>
        <w:pStyle w:val="CaptionedFigure"/>
      </w:pPr>
      <w:r>
        <w:drawing>
          <wp:inline>
            <wp:extent cx="5039999" cy="3054283"/>
            <wp:effectExtent b="0" l="0" r="0" t="0"/>
            <wp:docPr descr="TSaS – Punkt erfassen (Sequenz)" title="" id="41" name="Picture"/>
            <a:graphic>
              <a:graphicData uri="http://schemas.openxmlformats.org/drawingml/2006/picture">
                <pic:pic>
                  <pic:nvPicPr>
                    <pic:cNvPr descr="Seq_RecordPoint.png" id="42" name="Picture"/>
                    <pic:cNvPicPr>
                      <a:picLocks noChangeArrowheads="1" noChangeAspect="1"/>
                    </pic:cNvPicPr>
                  </pic:nvPicPr>
                  <pic:blipFill>
                    <a:blip r:embed="rId40"/>
                    <a:stretch>
                      <a:fillRect/>
                    </a:stretch>
                  </pic:blipFill>
                  <pic:spPr bwMode="auto">
                    <a:xfrm>
                      <a:off x="0" y="0"/>
                      <a:ext cx="5039999" cy="3054283"/>
                    </a:xfrm>
                    <a:prstGeom prst="rect">
                      <a:avLst/>
                    </a:prstGeom>
                    <a:noFill/>
                    <a:ln w="9525">
                      <a:noFill/>
                      <a:headEnd/>
                      <a:tailEnd/>
                    </a:ln>
                  </pic:spPr>
                </pic:pic>
              </a:graphicData>
            </a:graphic>
          </wp:inline>
        </w:drawing>
      </w:r>
    </w:p>
    <w:p>
      <w:pPr>
        <w:pStyle w:val="ImageCaption"/>
      </w:pPr>
      <w:r>
        <w:t xml:space="preserve">TSaS – Punkt erfassen (Sequenz)</w:t>
      </w:r>
    </w:p>
    <w:p>
      <w:pPr>
        <w:pStyle w:val="BodyText"/>
      </w:pPr>
      <w:r>
        <w:rPr>
          <w:i/>
          <w:iCs/>
        </w:rPr>
        <w:t xml:space="preserve">Quelle:</w:t>
      </w:r>
      <w:r>
        <w:rPr>
          <w:i/>
          <w:iCs/>
        </w:rPr>
        <w:t xml:space="preserve"> </w:t>
      </w:r>
      <w:hyperlink r:id="rId43">
        <w:r>
          <w:rPr>
            <w:rStyle w:val="VerbatimChar"/>
            <w:i/>
            <w:iCs/>
          </w:rPr>
          <w:t xml:space="preserve">diagrams/TSaS_Seq_RecordPoint.puml</w:t>
        </w:r>
      </w:hyperlink>
      <w:r>
        <w:rPr>
          <w:i/>
          <w:iCs/>
        </w:rPr>
        <w:t xml:space="preserve">.</w:t>
      </w:r>
    </w:p>
    <w:p>
      <w:pPr>
        <w:pStyle w:val="BodyText"/>
      </w:pPr>
      <w:r>
        <w:t xml:space="preserve">Dieses Szenario beschreibt den typischen Ablauf, wenn ein Trainer während eines Matches einen Punkt erfasst:</w:t>
      </w:r>
    </w:p>
    <w:p>
      <w:pPr>
        <w:pStyle w:val="Compact"/>
        <w:numPr>
          <w:ilvl w:val="0"/>
          <w:numId w:val="1004"/>
        </w:numPr>
      </w:pPr>
      <w:r>
        <w:t xml:space="preserve">Der Trainer klickt im Angular-Frontend auf die Schaltfläche für den Punkttyp (z.B. „Forehand Winner”).</w:t>
      </w:r>
    </w:p>
    <w:p>
      <w:pPr>
        <w:pStyle w:val="Compact"/>
        <w:numPr>
          <w:ilvl w:val="0"/>
          <w:numId w:val="1004"/>
        </w:numPr>
      </w:pPr>
      <w:r>
        <w:t xml:space="preserve">Das Frontend sendet einen POST-Request an /api/matches/{id}/points mit dem Bearer Token im Authorization-Header.</w:t>
      </w:r>
    </w:p>
    <w:p>
      <w:pPr>
        <w:pStyle w:val="Compact"/>
        <w:numPr>
          <w:ilvl w:val="0"/>
          <w:numId w:val="1004"/>
        </w:numPr>
      </w:pPr>
      <w:r>
        <w:t xml:space="preserve">Das Spring Boot API validiert das Token via Keycloak.</w:t>
      </w:r>
    </w:p>
    <w:p>
      <w:pPr>
        <w:pStyle w:val="Compact"/>
        <w:numPr>
          <w:ilvl w:val="0"/>
          <w:numId w:val="1004"/>
        </w:numPr>
      </w:pPr>
      <w:r>
        <w:t xml:space="preserve">Das match-module (Scoring-Logik) verarbeitet den Punkt: Aktualisierung des Spielstands (Punkte, Games, Sets), Persistierung in der POINT-Tabelle.</w:t>
      </w:r>
    </w:p>
    <w:p>
      <w:pPr>
        <w:pStyle w:val="Compact"/>
        <w:numPr>
          <w:ilvl w:val="0"/>
          <w:numId w:val="1004"/>
        </w:numPr>
      </w:pPr>
      <w:r>
        <w:t xml:space="preserve">Das match-module aktualisiert die CURRENT_SCORE-Tabelle; aggregierte Statistiken werden vom statistics-module on-the-fly aus den Points berechnet.</w:t>
      </w:r>
    </w:p>
    <w:p>
      <w:pPr>
        <w:pStyle w:val="Compact"/>
        <w:numPr>
          <w:ilvl w:val="0"/>
          <w:numId w:val="1004"/>
        </w:numPr>
      </w:pPr>
      <w:r>
        <w:t xml:space="preserve">Das API gibt den aktualisierten Spielstand als JSON zurück (HTTP 200).</w:t>
      </w:r>
    </w:p>
    <w:p>
      <w:pPr>
        <w:pStyle w:val="Compact"/>
        <w:numPr>
          <w:ilvl w:val="0"/>
          <w:numId w:val="1004"/>
        </w:numPr>
      </w:pPr>
      <w:r>
        <w:t xml:space="preserve">Das Frontend aktualisiert die Anzeige des Spielstands.</w:t>
      </w:r>
    </w:p>
    <w:bookmarkEnd w:id="44"/>
    <w:bookmarkStart w:id="49" w:name="X2fff043d07f14bccbec7d33989c0b93f7e0c4dd"/>
    <w:p>
      <w:pPr>
        <w:pStyle w:val="Heading3"/>
      </w:pPr>
      <w:r>
        <w:t xml:space="preserve">6.2 Szenario: KI-gestützte Match-Analyse (Postmortem)</w:t>
      </w:r>
    </w:p>
    <w:p>
      <w:pPr>
        <w:pStyle w:val="CaptionedFigure"/>
      </w:pPr>
      <w:r>
        <w:drawing>
          <wp:inline>
            <wp:extent cx="5334000" cy="2990457"/>
            <wp:effectExtent b="0" l="0" r="0" t="0"/>
            <wp:docPr descr="TSaS – KI-Match-Analyse generieren (Sequenz)" title="" id="46" name="Picture"/>
            <a:graphic>
              <a:graphicData uri="http://schemas.openxmlformats.org/drawingml/2006/picture">
                <pic:pic>
                  <pic:nvPicPr>
                    <pic:cNvPr descr="Seq_GenerateAnalysis.png" id="47" name="Picture"/>
                    <pic:cNvPicPr>
                      <a:picLocks noChangeArrowheads="1" noChangeAspect="1"/>
                    </pic:cNvPicPr>
                  </pic:nvPicPr>
                  <pic:blipFill>
                    <a:blip r:embed="rId45"/>
                    <a:stretch>
                      <a:fillRect/>
                    </a:stretch>
                  </pic:blipFill>
                  <pic:spPr bwMode="auto">
                    <a:xfrm>
                      <a:off x="0" y="0"/>
                      <a:ext cx="5334000" cy="2990457"/>
                    </a:xfrm>
                    <a:prstGeom prst="rect">
                      <a:avLst/>
                    </a:prstGeom>
                    <a:noFill/>
                    <a:ln w="9525">
                      <a:noFill/>
                      <a:headEnd/>
                      <a:tailEnd/>
                    </a:ln>
                  </pic:spPr>
                </pic:pic>
              </a:graphicData>
            </a:graphic>
          </wp:inline>
        </w:drawing>
      </w:r>
    </w:p>
    <w:p>
      <w:pPr>
        <w:pStyle w:val="ImageCaption"/>
      </w:pPr>
      <w:r>
        <w:t xml:space="preserve">TSaS – KI-Match-Analyse generieren (Sequenz)</w:t>
      </w:r>
    </w:p>
    <w:p>
      <w:pPr>
        <w:pStyle w:val="BodyText"/>
      </w:pPr>
      <w:r>
        <w:rPr>
          <w:i/>
          <w:iCs/>
        </w:rPr>
        <w:t xml:space="preserve">Quelle:</w:t>
      </w:r>
      <w:r>
        <w:rPr>
          <w:i/>
          <w:iCs/>
        </w:rPr>
        <w:t xml:space="preserve"> </w:t>
      </w:r>
      <w:hyperlink r:id="rId48">
        <w:r>
          <w:rPr>
            <w:rStyle w:val="VerbatimChar"/>
            <w:i/>
            <w:iCs/>
          </w:rPr>
          <w:t xml:space="preserve">diagrams/TSaS_Seq_GenerateAnalysis.puml</w:t>
        </w:r>
      </w:hyperlink>
      <w:r>
        <w:rPr>
          <w:i/>
          <w:iCs/>
        </w:rPr>
        <w:t xml:space="preserve">.</w:t>
      </w:r>
    </w:p>
    <w:p>
      <w:pPr>
        <w:pStyle w:val="BodyText"/>
      </w:pPr>
      <w:r>
        <w:t xml:space="preserve">Dieses Szenario beschreibt die Generierung einer taktischen Match-Analyse nach Match-Ende:</w:t>
      </w:r>
    </w:p>
    <w:p>
      <w:pPr>
        <w:pStyle w:val="Compact"/>
        <w:numPr>
          <w:ilvl w:val="0"/>
          <w:numId w:val="1005"/>
        </w:numPr>
      </w:pPr>
      <w:r>
        <w:t xml:space="preserve">Der Coach öffnet ein beendetes Match (</w:t>
      </w:r>
      <w:r>
        <w:rPr>
          <w:rStyle w:val="VerbatimChar"/>
        </w:rPr>
        <w:t xml:space="preserve">MatchStatus = COMPLETED</w:t>
      </w:r>
      <w:r>
        <w:t xml:space="preserve">) im Frontend und klickt auf „Taktische Analyse generieren”.</w:t>
      </w:r>
    </w:p>
    <w:p>
      <w:pPr>
        <w:pStyle w:val="Compact"/>
        <w:numPr>
          <w:ilvl w:val="0"/>
          <w:numId w:val="1005"/>
        </w:numPr>
      </w:pPr>
      <w:r>
        <w:t xml:space="preserve">Das Frontend sendet</w:t>
      </w:r>
      <w:r>
        <w:t xml:space="preserve"> </w:t>
      </w:r>
      <w:r>
        <w:rPr>
          <w:rStyle w:val="VerbatimChar"/>
        </w:rPr>
        <w:t xml:space="preserve">POST /api/matches/{id}/analysis</w:t>
      </w:r>
      <w:r>
        <w:t xml:space="preserve"> </w:t>
      </w:r>
      <w:r>
        <w:t xml:space="preserve">mit Bearer Token.</w:t>
      </w:r>
    </w:p>
    <w:p>
      <w:pPr>
        <w:pStyle w:val="Compact"/>
        <w:numPr>
          <w:ilvl w:val="0"/>
          <w:numId w:val="1005"/>
        </w:numPr>
      </w:pPr>
      <w:r>
        <w:t xml:space="preserve">Der</w:t>
      </w:r>
      <w:r>
        <w:t xml:space="preserve"> </w:t>
      </w:r>
      <w:r>
        <w:rPr>
          <w:rStyle w:val="VerbatimChar"/>
        </w:rPr>
        <w:t xml:space="preserve">MatchAnalysisController</w:t>
      </w:r>
      <w:r>
        <w:t xml:space="preserve"> </w:t>
      </w:r>
      <w:r>
        <w:t xml:space="preserve">im</w:t>
      </w:r>
      <w:r>
        <w:t xml:space="preserve"> </w:t>
      </w:r>
      <w:r>
        <w:rPr>
          <w:rStyle w:val="VerbatimChar"/>
        </w:rPr>
        <w:t xml:space="preserve">ai-module</w:t>
      </w:r>
      <w:r>
        <w:t xml:space="preserve"> </w:t>
      </w:r>
      <w:r>
        <w:t xml:space="preserve">ruft den</w:t>
      </w:r>
      <w:r>
        <w:t xml:space="preserve"> </w:t>
      </w:r>
      <w:r>
        <w:rPr>
          <w:rStyle w:val="VerbatimChar"/>
        </w:rPr>
        <w:t xml:space="preserve">GenerateMatchAnalysisUseCase</w:t>
      </w:r>
      <w:r>
        <w:t xml:space="preserve"> </w:t>
      </w:r>
      <w:r>
        <w:t xml:space="preserve">(</w:t>
      </w:r>
      <w:r>
        <w:rPr>
          <w:rStyle w:val="VerbatimChar"/>
        </w:rPr>
        <w:t xml:space="preserve">MatchAnalysisService</w:t>
      </w:r>
      <w:r>
        <w:t xml:space="preserve">) auf.</w:t>
      </w:r>
    </w:p>
    <w:p>
      <w:pPr>
        <w:pStyle w:val="Compact"/>
        <w:numPr>
          <w:ilvl w:val="0"/>
          <w:numId w:val="1005"/>
        </w:numPr>
      </w:pPr>
      <w:r>
        <w:t xml:space="preserve">Der Service prüft: Match-Status = COMPLETED (sonst HTTP 409), Punktzahl ≥ 10 (sonst HTTP 422, Kostenschutz).</w:t>
      </w:r>
    </w:p>
    <w:p>
      <w:pPr>
        <w:pStyle w:val="Compact"/>
        <w:numPr>
          <w:ilvl w:val="0"/>
          <w:numId w:val="1005"/>
        </w:numPr>
      </w:pPr>
      <w:r>
        <w:t xml:space="preserve">Der Service ruft das</w:t>
      </w:r>
      <w:r>
        <w:t xml:space="preserve"> </w:t>
      </w:r>
      <w:r>
        <w:rPr>
          <w:rStyle w:val="VerbatimChar"/>
        </w:rPr>
        <w:t xml:space="preserve">statistics-module</w:t>
      </w:r>
      <w:r>
        <w:t xml:space="preserve"> </w:t>
      </w:r>
      <w:r>
        <w:t xml:space="preserve">für die aggregierten Kennzahlen und das</w:t>
      </w:r>
      <w:r>
        <w:t xml:space="preserve"> </w:t>
      </w:r>
      <w:r>
        <w:rPr>
          <w:rStyle w:val="VerbatimChar"/>
        </w:rPr>
        <w:t xml:space="preserve">player-module</w:t>
      </w:r>
      <w:r>
        <w:t xml:space="preserve"> </w:t>
      </w:r>
      <w:r>
        <w:t xml:space="preserve">für Spielermetadaten (Name, Ranking, Handedness, Backhand-Typ).</w:t>
      </w:r>
    </w:p>
    <w:p>
      <w:pPr>
        <w:pStyle w:val="Compact"/>
        <w:numPr>
          <w:ilvl w:val="0"/>
          <w:numId w:val="1005"/>
        </w:numPr>
      </w:pPr>
      <w:r>
        <w:t xml:space="preserve">Der Service ruft</w:t>
      </w:r>
      <w:r>
        <w:t xml:space="preserve"> </w:t>
      </w:r>
      <w:r>
        <w:rPr>
          <w:rStyle w:val="VerbatimChar"/>
        </w:rPr>
        <w:t xml:space="preserve">LlmClientPort.generateAnalysis(stats, metadata)</w:t>
      </w:r>
      <w:r>
        <w:t xml:space="preserve">. Im Default-Profil ist dies der</w:t>
      </w:r>
      <w:r>
        <w:t xml:space="preserve"> </w:t>
      </w:r>
      <w:r>
        <w:rPr>
          <w:rStyle w:val="VerbatimChar"/>
        </w:rPr>
        <w:t xml:space="preserve">OpenAiLlmAdapter</w:t>
      </w:r>
      <w:r>
        <w:t xml:space="preserve"> </w:t>
      </w:r>
      <w:r>
        <w:t xml:space="preserve">(Spring AI ChatClient → OpenAI Chat Completions API mit strukturiertem JSON-Output via BeanOutputConverter). Bei fehlendem oder leerem</w:t>
      </w:r>
      <w:r>
        <w:t xml:space="preserve"> </w:t>
      </w:r>
      <w:r>
        <w:rPr>
          <w:rStyle w:val="VerbatimChar"/>
        </w:rPr>
        <w:t xml:space="preserve">OPENAI_API_KEY</w:t>
      </w:r>
      <w:r>
        <w:t xml:space="preserve"> </w:t>
      </w:r>
      <w:r>
        <w:t xml:space="preserve">übernimmt der</w:t>
      </w:r>
      <w:r>
        <w:t xml:space="preserve"> </w:t>
      </w:r>
      <w:r>
        <w:rPr>
          <w:rStyle w:val="VerbatimChar"/>
        </w:rPr>
        <w:t xml:space="preserve">FakeLlmClientAdapter</w:t>
      </w:r>
      <w:r>
        <w:t xml:space="preserve"> </w:t>
      </w:r>
      <w:r>
        <w:t xml:space="preserve">(deterministisches Stub-Result) — nützlich für Tests und Entwicklung ohne Provider.</w:t>
      </w:r>
    </w:p>
    <w:p>
      <w:pPr>
        <w:pStyle w:val="Compact"/>
        <w:numPr>
          <w:ilvl w:val="0"/>
          <w:numId w:val="1005"/>
        </w:numPr>
      </w:pPr>
      <w:r>
        <w:t xml:space="preserve">Die strukturierte Antwort (Schlüsselmomente, eigene/gegnerische Stärken/Schwächen, 3–5 priorisierte Empfehlungen) wird als</w:t>
      </w:r>
      <w:r>
        <w:t xml:space="preserve"> </w:t>
      </w:r>
      <w:r>
        <w:rPr>
          <w:rStyle w:val="VerbatimChar"/>
        </w:rPr>
        <w:t xml:space="preserve">MatchAnalysis</w:t>
      </w:r>
      <w:r>
        <w:t xml:space="preserve"> </w:t>
      </w:r>
      <w:r>
        <w:t xml:space="preserve">mit Status</w:t>
      </w:r>
      <w:r>
        <w:t xml:space="preserve"> </w:t>
      </w:r>
      <w:r>
        <w:rPr>
          <w:rStyle w:val="VerbatimChar"/>
        </w:rPr>
        <w:t xml:space="preserve">COMPLETED</w:t>
      </w:r>
      <w:r>
        <w:t xml:space="preserve"> </w:t>
      </w:r>
      <w:r>
        <w:t xml:space="preserve">in der Tabelle</w:t>
      </w:r>
      <w:r>
        <w:t xml:space="preserve"> </w:t>
      </w:r>
      <w:r>
        <w:rPr>
          <w:rStyle w:val="VerbatimChar"/>
        </w:rPr>
        <w:t xml:space="preserve">match_analysis</w:t>
      </w:r>
      <w:r>
        <w:t xml:space="preserve"> </w:t>
      </w:r>
      <w:r>
        <w:t xml:space="preserve">persistiert (1:1 zum Match, überschreibbar via UNIQUE-Constraint).</w:t>
      </w:r>
    </w:p>
    <w:p>
      <w:pPr>
        <w:pStyle w:val="Compact"/>
        <w:numPr>
          <w:ilvl w:val="0"/>
          <w:numId w:val="1005"/>
        </w:numPr>
      </w:pPr>
      <w:r>
        <w:t xml:space="preserve">Das API antwortet mit HTTP 200 und der vollständigen Analyse.</w:t>
      </w:r>
    </w:p>
    <w:p>
      <w:pPr>
        <w:pStyle w:val="Compact"/>
        <w:numPr>
          <w:ilvl w:val="0"/>
          <w:numId w:val="1005"/>
        </w:numPr>
      </w:pPr>
      <w:r>
        <w:t xml:space="preserve">Bei LLM-Fehlern (Netzwerk, 5xx, Parse-Fehler) wird ein</w:t>
      </w:r>
      <w:r>
        <w:t xml:space="preserve"> </w:t>
      </w:r>
      <w:r>
        <w:rPr>
          <w:rStyle w:val="VerbatimChar"/>
        </w:rPr>
        <w:t xml:space="preserve">MatchAnalysis</w:t>
      </w:r>
      <w:r>
        <w:t xml:space="preserve">-Datensatz mit Status</w:t>
      </w:r>
      <w:r>
        <w:t xml:space="preserve"> </w:t>
      </w:r>
      <w:r>
        <w:rPr>
          <w:rStyle w:val="VerbatimChar"/>
        </w:rPr>
        <w:t xml:space="preserve">FAILED</w:t>
      </w:r>
      <w:r>
        <w:t xml:space="preserve"> </w:t>
      </w:r>
      <w:r>
        <w:t xml:space="preserve">und</w:t>
      </w:r>
      <w:r>
        <w:t xml:space="preserve"> </w:t>
      </w:r>
      <w:r>
        <w:rPr>
          <w:rStyle w:val="VerbatimChar"/>
        </w:rPr>
        <w:t xml:space="preserve">errorMessage</w:t>
      </w:r>
      <w:r>
        <w:t xml:space="preserve"> </w:t>
      </w:r>
      <w:r>
        <w:t xml:space="preserve">persistiert, das API antwortet mit HTTP 502. Der Coach kann „Erneut versuchen” klicken; der nächste erfolgreiche Aufruf überschreibt den FAILED-Datensatz.</w:t>
      </w:r>
    </w:p>
    <w:p>
      <w:pPr>
        <w:pStyle w:val="Compact"/>
        <w:numPr>
          <w:ilvl w:val="0"/>
          <w:numId w:val="1005"/>
        </w:numPr>
      </w:pPr>
      <w:r>
        <w:rPr>
          <w:rStyle w:val="VerbatimChar"/>
        </w:rPr>
        <w:t xml:space="preserve">GET /api/matches/{id}/analysis</w:t>
      </w:r>
      <w:r>
        <w:t xml:space="preserve"> </w:t>
      </w:r>
      <w:r>
        <w:t xml:space="preserve">liefert die gespeicherte Analyse ohne erneuten LLM-Aufruf (HTTP 200) oder HTTP 404, falls noch keine generiert wurde.</w:t>
      </w:r>
    </w:p>
    <w:bookmarkEnd w:id="49"/>
    <w:bookmarkStart w:id="50" w:name="szenario-benutzer-authentifizierung"/>
    <w:p>
      <w:pPr>
        <w:pStyle w:val="Heading3"/>
      </w:pPr>
      <w:r>
        <w:t xml:space="preserve">6.3 Szenario: Benutzer-Authentifizierung</w:t>
      </w:r>
    </w:p>
    <w:p>
      <w:pPr>
        <w:pStyle w:val="FirstParagraph"/>
      </w:pPr>
      <w:r>
        <w:t xml:space="preserve">Der Login-Flow folgt dem Standard OAuth2 Authorization Code Flow mit PKCE:</w:t>
      </w:r>
    </w:p>
    <w:p>
      <w:pPr>
        <w:pStyle w:val="Compact"/>
        <w:numPr>
          <w:ilvl w:val="0"/>
          <w:numId w:val="1006"/>
        </w:numPr>
      </w:pPr>
      <w:r>
        <w:t xml:space="preserve">Benutzer öffnet TSaS im Browser und wird zum Keycloak-Login weitergeleitet.</w:t>
      </w:r>
    </w:p>
    <w:p>
      <w:pPr>
        <w:pStyle w:val="Compact"/>
        <w:numPr>
          <w:ilvl w:val="0"/>
          <w:numId w:val="1006"/>
        </w:numPr>
      </w:pPr>
      <w:r>
        <w:t xml:space="preserve">Benutzer authentifiziert sich (Benutzername/Passwort oder Google IDP ab V2).</w:t>
      </w:r>
    </w:p>
    <w:p>
      <w:pPr>
        <w:pStyle w:val="Compact"/>
        <w:numPr>
          <w:ilvl w:val="0"/>
          <w:numId w:val="1006"/>
        </w:numPr>
      </w:pPr>
      <w:r>
        <w:t xml:space="preserve">Keycloak stellt Authorization Code aus und leitet zurück an TSaS.</w:t>
      </w:r>
    </w:p>
    <w:p>
      <w:pPr>
        <w:pStyle w:val="Compact"/>
        <w:numPr>
          <w:ilvl w:val="0"/>
          <w:numId w:val="1006"/>
        </w:numPr>
      </w:pPr>
      <w:r>
        <w:t xml:space="preserve">Das Frontend tauscht den Code gegen Access- und Refresh-Token.</w:t>
      </w:r>
    </w:p>
    <w:p>
      <w:pPr>
        <w:pStyle w:val="Compact"/>
        <w:numPr>
          <w:ilvl w:val="0"/>
          <w:numId w:val="1006"/>
        </w:numPr>
      </w:pPr>
      <w:r>
        <w:t xml:space="preserve">Bei jedem API-Call wird das Access-Token im Authorization-Header mitgesendet.</w:t>
      </w:r>
    </w:p>
    <w:p>
      <w:r>
        <w:pict>
          <v:rect style="width:0;height:1.5pt" o:hralign="center" o:hrstd="t" o:hr="t"/>
        </w:pict>
      </w:r>
    </w:p>
    <w:bookmarkEnd w:id="50"/>
    <w:bookmarkEnd w:id="51"/>
    <w:bookmarkStart w:id="62" w:name="verteilungssicht"/>
    <w:p>
      <w:pPr>
        <w:pStyle w:val="Heading2"/>
      </w:pPr>
      <w:r>
        <w:t xml:space="preserve">7. Verteilungssicht</w:t>
      </w:r>
    </w:p>
    <w:bookmarkStart w:id="56" w:name="infrastruktur"/>
    <w:p>
      <w:pPr>
        <w:pStyle w:val="Heading3"/>
      </w:pPr>
      <w:r>
        <w:t xml:space="preserve">7.1 Infrastruktur</w:t>
      </w:r>
    </w:p>
    <w:p>
      <w:pPr>
        <w:pStyle w:val="FirstParagraph"/>
      </w:pPr>
      <w:r>
        <w:t xml:space="preserve">Die Applikation wird mittels Docker Compose deployed. Das folgende Deployment-Diagramm zeigt die Container-Struktur:</w:t>
      </w:r>
    </w:p>
    <w:p>
      <w:pPr>
        <w:pStyle w:val="CaptionedFigure"/>
      </w:pPr>
      <w:r>
        <w:drawing>
          <wp:inline>
            <wp:extent cx="5334000" cy="3442815"/>
            <wp:effectExtent b="0" l="0" r="0" t="0"/>
            <wp:docPr descr="TSaS – Verteilungssicht (Docker Compose)" title="" id="53" name="Picture"/>
            <a:graphic>
              <a:graphicData uri="http://schemas.openxmlformats.org/drawingml/2006/picture">
                <pic:pic>
                  <pic:nvPicPr>
                    <pic:cNvPr descr="Deployment.png" id="54" name="Picture"/>
                    <pic:cNvPicPr>
                      <a:picLocks noChangeArrowheads="1" noChangeAspect="1"/>
                    </pic:cNvPicPr>
                  </pic:nvPicPr>
                  <pic:blipFill>
                    <a:blip r:embed="rId52"/>
                    <a:stretch>
                      <a:fillRect/>
                    </a:stretch>
                  </pic:blipFill>
                  <pic:spPr bwMode="auto">
                    <a:xfrm>
                      <a:off x="0" y="0"/>
                      <a:ext cx="5334000" cy="3442815"/>
                    </a:xfrm>
                    <a:prstGeom prst="rect">
                      <a:avLst/>
                    </a:prstGeom>
                    <a:noFill/>
                    <a:ln w="9525">
                      <a:noFill/>
                      <a:headEnd/>
                      <a:tailEnd/>
                    </a:ln>
                  </pic:spPr>
                </pic:pic>
              </a:graphicData>
            </a:graphic>
          </wp:inline>
        </w:drawing>
      </w:r>
    </w:p>
    <w:p>
      <w:pPr>
        <w:pStyle w:val="ImageCaption"/>
      </w:pPr>
      <w:r>
        <w:t xml:space="preserve">TSaS – Verteilungssicht (Docker Compose)</w:t>
      </w:r>
    </w:p>
    <w:p>
      <w:pPr>
        <w:pStyle w:val="BodyText"/>
      </w:pPr>
      <w:r>
        <w:rPr>
          <w:i/>
          <w:iCs/>
        </w:rPr>
        <w:t xml:space="preserve">Quelle:</w:t>
      </w:r>
      <w:r>
        <w:rPr>
          <w:i/>
          <w:iCs/>
        </w:rPr>
        <w:t xml:space="preserve"> </w:t>
      </w:r>
      <w:hyperlink r:id="rId55">
        <w:r>
          <w:rPr>
            <w:rStyle w:val="VerbatimChar"/>
            <w:i/>
            <w:iCs/>
          </w:rPr>
          <w:t xml:space="preserve">diagrams/TSaS_Deployment.drawio</w:t>
        </w:r>
      </w:hyperlink>
      <w:r>
        <w:rPr>
          <w:i/>
          <w:iCs/>
        </w:rPr>
        <w:t xml:space="preserve">. Der externe OpenAI-LLM-Dienst (Spring AI, ab V1.x) wird vom Backend über HTTPS angesprochen.</w:t>
      </w:r>
    </w:p>
    <w:tbl>
      <w:tblPr>
        <w:tblStyle w:val="Table"/>
        <w:tblW w:type="pct" w:w="5000"/>
        <w:tblLayout w:type="fixed"/>
        <w:tblLook w:firstRow="1" w:lastRow="0" w:firstColumn="0" w:lastColumn="0" w:noHBand="0" w:noVBand="0" w:val="0020"/>
      </w:tblPr>
      <w:tblGrid>
        <w:gridCol w:w="2354"/>
        <w:gridCol w:w="1712"/>
        <w:gridCol w:w="1498"/>
        <w:gridCol w:w="2354"/>
      </w:tblGrid>
      <w:tr>
        <w:trPr>
          <w:tblHeader w:val="on"/>
        </w:trPr>
        <w:tc>
          <w:tcPr/>
          <w:p>
            <w:pPr>
              <w:pStyle w:val="Compact"/>
            </w:pPr>
            <w:r>
              <w:t xml:space="preserve">Container</w:t>
            </w:r>
          </w:p>
        </w:tc>
        <w:tc>
          <w:tcPr/>
          <w:p>
            <w:pPr>
              <w:pStyle w:val="Compact"/>
            </w:pPr>
            <w:r>
              <w:t xml:space="preserve">Inhalt</w:t>
            </w:r>
          </w:p>
        </w:tc>
        <w:tc>
          <w:tcPr/>
          <w:p>
            <w:pPr>
              <w:pStyle w:val="Compact"/>
            </w:pPr>
            <w:r>
              <w:t xml:space="preserve">Ports</w:t>
            </w:r>
          </w:p>
        </w:tc>
        <w:tc>
          <w:tcPr/>
          <w:p>
            <w:pPr>
              <w:pStyle w:val="Compact"/>
            </w:pPr>
            <w:r>
              <w:t xml:space="preserve">Bemerkung</w:t>
            </w:r>
          </w:p>
        </w:tc>
      </w:tr>
      <w:tr>
        <w:tc>
          <w:tcPr/>
          <w:p>
            <w:pPr>
              <w:pStyle w:val="Compact"/>
            </w:pPr>
            <w:r>
              <w:rPr>
                <w:rStyle w:val="VerbatimChar"/>
              </w:rPr>
              <w:t xml:space="preserve">frontend</w:t>
            </w:r>
          </w:p>
        </w:tc>
        <w:tc>
          <w:tcPr/>
          <w:p>
            <w:pPr>
              <w:pStyle w:val="Compact"/>
            </w:pPr>
            <w:r>
              <w:t xml:space="preserve">nginx-unprivileged + Angular SPA (statische Build-Artefakte)</w:t>
            </w:r>
          </w:p>
        </w:tc>
        <w:tc>
          <w:tcPr/>
          <w:p>
            <w:pPr>
              <w:pStyle w:val="Compact"/>
            </w:pPr>
            <w:r>
              <w:t xml:space="preserve">Host 80 → Container 8080</w:t>
            </w:r>
          </w:p>
        </w:tc>
        <w:tc>
          <w:tcPr/>
          <w:p>
            <w:pPr>
              <w:pStyle w:val="Compact"/>
            </w:pPr>
            <w:r>
              <w:t xml:space="preserve">Nginx läuft als UID 101 und liefert die SPA aus; proxied</w:t>
            </w:r>
            <w:r>
              <w:t xml:space="preserve"> </w:t>
            </w:r>
            <w:r>
              <w:rPr>
                <w:rStyle w:val="VerbatimChar"/>
              </w:rPr>
              <w:t xml:space="preserve">/api/</w:t>
            </w:r>
            <w:r>
              <w:t xml:space="preserve">-Requests an den Backend-Container.</w:t>
            </w:r>
          </w:p>
        </w:tc>
      </w:tr>
      <w:tr>
        <w:tc>
          <w:tcPr/>
          <w:p>
            <w:pPr>
              <w:pStyle w:val="Compact"/>
            </w:pPr>
            <w:r>
              <w:rPr>
                <w:rStyle w:val="VerbatimChar"/>
              </w:rPr>
              <w:t xml:space="preserve">backend</w:t>
            </w:r>
          </w:p>
        </w:tc>
        <w:tc>
          <w:tcPr/>
          <w:p>
            <w:pPr>
              <w:pStyle w:val="Compact"/>
            </w:pPr>
            <w:r>
              <w:t xml:space="preserve">Spring Boot API (Java 25)</w:t>
            </w:r>
          </w:p>
        </w:tc>
        <w:tc>
          <w:tcPr/>
          <w:p>
            <w:pPr>
              <w:pStyle w:val="Compact"/>
            </w:pPr>
            <w:r>
              <w:t xml:space="preserve">8080</w:t>
            </w:r>
          </w:p>
        </w:tc>
        <w:tc>
          <w:tcPr/>
          <w:p>
            <w:pPr>
              <w:pStyle w:val="Compact"/>
            </w:pPr>
            <w:r>
              <w:t xml:space="preserve">Läuft als UID 10001 (</w:t>
            </w:r>
            <w:r>
              <w:rPr>
                <w:rStyle w:val="VerbatimChar"/>
              </w:rPr>
              <w:t xml:space="preserve">app</w:t>
            </w:r>
            <w:r>
              <w:t xml:space="preserve">-User). Nur intern erreichbar (kein direkter Portmapping nach aussen im Produktiv-Setup).</w:t>
            </w:r>
          </w:p>
        </w:tc>
      </w:tr>
      <w:tr>
        <w:tc>
          <w:tcPr/>
          <w:p>
            <w:pPr>
              <w:pStyle w:val="Compact"/>
            </w:pPr>
            <w:r>
              <w:rPr>
                <w:rStyle w:val="VerbatimChar"/>
              </w:rPr>
              <w:t xml:space="preserve">db</w:t>
            </w:r>
          </w:p>
        </w:tc>
        <w:tc>
          <w:tcPr/>
          <w:p>
            <w:pPr>
              <w:pStyle w:val="Compact"/>
            </w:pPr>
            <w:r>
              <w:t xml:space="preserve">PostgreSQL 16</w:t>
            </w:r>
          </w:p>
        </w:tc>
        <w:tc>
          <w:tcPr/>
          <w:p>
            <w:pPr>
              <w:pStyle w:val="Compact"/>
            </w:pPr>
            <w:r>
              <w:t xml:space="preserve">5432 (intern)</w:t>
            </w:r>
          </w:p>
        </w:tc>
        <w:tc>
          <w:tcPr/>
          <w:p>
            <w:pPr>
              <w:pStyle w:val="Compact"/>
            </w:pPr>
            <w:r>
              <w:t xml:space="preserve">Persistentes Volume. Kein Port-Mapping nach aussen.</w:t>
            </w:r>
          </w:p>
        </w:tc>
      </w:tr>
      <w:tr>
        <w:tc>
          <w:tcPr/>
          <w:p>
            <w:pPr>
              <w:pStyle w:val="Compact"/>
            </w:pPr>
            <w:r>
              <w:rPr>
                <w:rStyle w:val="VerbatimChar"/>
              </w:rPr>
              <w:t xml:space="preserve">keycloak</w:t>
            </w:r>
          </w:p>
        </w:tc>
        <w:tc>
          <w:tcPr/>
          <w:p>
            <w:pPr>
              <w:pStyle w:val="Compact"/>
            </w:pPr>
            <w:r>
              <w:t xml:space="preserve">Keycloak 26</w:t>
            </w:r>
          </w:p>
        </w:tc>
        <w:tc>
          <w:tcPr/>
          <w:p>
            <w:pPr>
              <w:pStyle w:val="Compact"/>
            </w:pPr>
            <w:r>
              <w:t xml:space="preserve">8443 (HTTPS), 18080 (HTTP intern für JWKS)</w:t>
            </w:r>
          </w:p>
        </w:tc>
        <w:tc>
          <w:tcPr/>
          <w:p>
            <w:pPr>
              <w:pStyle w:val="Compact"/>
            </w:pPr>
            <w:r>
              <w:t xml:space="preserve">Realm</w:t>
            </w:r>
            <w:r>
              <w:t xml:space="preserve"> </w:t>
            </w:r>
            <w:r>
              <w:rPr>
                <w:rStyle w:val="VerbatimChar"/>
              </w:rPr>
              <w:t xml:space="preserve">tsas</w:t>
            </w:r>
            <w:r>
              <w:t xml:space="preserve"> </w:t>
            </w:r>
            <w:r>
              <w:t xml:space="preserve">wird beim Start automatisch importiert.</w:t>
            </w:r>
          </w:p>
        </w:tc>
      </w:tr>
    </w:tbl>
    <w:bookmarkEnd w:id="56"/>
    <w:bookmarkStart w:id="57" w:name="container-hardening-ten-63-stride-e5"/>
    <w:p>
      <w:pPr>
        <w:pStyle w:val="Heading3"/>
      </w:pPr>
      <w:r>
        <w:t xml:space="preserve">7.1.1 Container-Hardening (TEN-63 / STRIDE E5)</w:t>
      </w:r>
    </w:p>
    <w:p>
      <w:pPr>
        <w:pStyle w:val="FirstParagraph"/>
      </w:pPr>
      <w:r>
        <w:t xml:space="preserve">Alle Services in</w:t>
      </w:r>
      <w:r>
        <w:t xml:space="preserve"> </w:t>
      </w:r>
      <w:r>
        <w:rPr>
          <w:rStyle w:val="VerbatimChar"/>
        </w:rPr>
        <w:t xml:space="preserve">docker/compose.yml</w:t>
      </w:r>
      <w:r>
        <w:t xml:space="preserve"> </w:t>
      </w:r>
      <w:r>
        <w:t xml:space="preserve">laufen mit folgenden Sicherheits-Defaults — adressiert STRIDE-Befunde T4 (Datenzugriff) und D5 (Ressourcen-Erschöpfung):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Massnahme</w:t>
            </w:r>
          </w:p>
        </w:tc>
        <w:tc>
          <w:tcPr/>
          <w:p>
            <w:pPr>
              <w:pStyle w:val="Compact"/>
            </w:pPr>
            <w:r>
              <w:t xml:space="preserve">Wirkung</w:t>
            </w:r>
          </w:p>
        </w:tc>
      </w:tr>
      <w:tr>
        <w:tc>
          <w:tcPr/>
          <w:p>
            <w:pPr>
              <w:pStyle w:val="Compact"/>
            </w:pPr>
            <w:r>
              <w:rPr>
                <w:b/>
                <w:bCs/>
              </w:rPr>
              <w:t xml:space="preserve">Non-root Runtime-User</w:t>
            </w:r>
          </w:p>
        </w:tc>
        <w:tc>
          <w:tcPr/>
          <w:p>
            <w:pPr>
              <w:pStyle w:val="Compact"/>
            </w:pPr>
            <w:r>
              <w:rPr>
                <w:rStyle w:val="VerbatimChar"/>
              </w:rPr>
              <w:t xml:space="preserve">backend</w:t>
            </w:r>
            <w:r>
              <w:t xml:space="preserve"> </w:t>
            </w:r>
            <w:r>
              <w:t xml:space="preserve">als UID 10001 (</w:t>
            </w:r>
            <w:r>
              <w:rPr>
                <w:rStyle w:val="VerbatimChar"/>
              </w:rPr>
              <w:t xml:space="preserve">app</w:t>
            </w:r>
            <w:r>
              <w:t xml:space="preserve">),</w:t>
            </w:r>
            <w:r>
              <w:t xml:space="preserve"> </w:t>
            </w:r>
            <w:r>
              <w:rPr>
                <w:rStyle w:val="VerbatimChar"/>
              </w:rPr>
              <w:t xml:space="preserve">frontend</w:t>
            </w:r>
            <w:r>
              <w:t xml:space="preserve"> </w:t>
            </w:r>
            <w:r>
              <w:t xml:space="preserve">über</w:t>
            </w:r>
            <w:r>
              <w:t xml:space="preserve"> </w:t>
            </w:r>
            <w:r>
              <w:rPr>
                <w:rStyle w:val="VerbatimChar"/>
              </w:rPr>
              <w:t xml:space="preserve">nginxinc/nginx-unprivileged:alpine</w:t>
            </w:r>
            <w:r>
              <w:t xml:space="preserve"> </w:t>
            </w:r>
            <w:r>
              <w:t xml:space="preserve">als UID 101 (</w:t>
            </w:r>
            <w:r>
              <w:rPr>
                <w:rStyle w:val="VerbatimChar"/>
              </w:rPr>
              <w:t xml:space="preserve">nginx</w:t>
            </w:r>
            <w:r>
              <w:t xml:space="preserve">).</w:t>
            </w:r>
          </w:p>
        </w:tc>
      </w:tr>
      <w:tr>
        <w:tc>
          <w:tcPr/>
          <w:p>
            <w:pPr>
              <w:pStyle w:val="Compact"/>
            </w:pPr>
            <w:r>
              <w:rPr>
                <w:rStyle w:val="VerbatimChar"/>
              </w:rPr>
              <w:t xml:space="preserve">read_only: true</w:t>
            </w:r>
            <w:r>
              <w:t xml:space="preserve"> </w:t>
            </w:r>
            <w:r>
              <w:t xml:space="preserve">+ Targeted</w:t>
            </w:r>
            <w:r>
              <w:t xml:space="preserve"> </w:t>
            </w:r>
            <w:r>
              <w:rPr>
                <w:rStyle w:val="VerbatimChar"/>
              </w:rPr>
              <w:t xml:space="preserve">tmpfs</w:t>
            </w:r>
          </w:p>
        </w:tc>
        <w:tc>
          <w:tcPr/>
          <w:p>
            <w:pPr>
              <w:pStyle w:val="Compact"/>
            </w:pPr>
            <w:r>
              <w:t xml:space="preserve">Root-Filesystem nicht beschreibbar; nur explizit deklarierte Pfade (</w:t>
            </w:r>
            <w:r>
              <w:rPr>
                <w:rStyle w:val="VerbatimChar"/>
              </w:rPr>
              <w:t xml:space="preserve">/tmp</w:t>
            </w:r>
            <w:r>
              <w:t xml:space="preserve">, nginx-Caches, postgres-</w:t>
            </w:r>
            <w:r>
              <w:rPr>
                <w:rStyle w:val="VerbatimChar"/>
              </w:rPr>
              <w:t xml:space="preserve">/var/run/postgresql</w:t>
            </w:r>
            <w:r>
              <w:t xml:space="preserve">) sind beschreibbar. Keycloak ist davon ausgenommen (Dev-Stack mit</w:t>
            </w:r>
            <w:r>
              <w:t xml:space="preserve"> </w:t>
            </w:r>
            <w:r>
              <w:rPr>
                <w:rStyle w:val="VerbatimChar"/>
              </w:rPr>
              <w:t xml:space="preserve">start-dev</w:t>
            </w:r>
            <w:r>
              <w:t xml:space="preserve">-Modus und H2-Volume).</w:t>
            </w:r>
          </w:p>
        </w:tc>
      </w:tr>
      <w:tr>
        <w:tc>
          <w:tcPr/>
          <w:p>
            <w:pPr>
              <w:pStyle w:val="Compact"/>
            </w:pPr>
            <w:r>
              <w:rPr>
                <w:rStyle w:val="VerbatimChar"/>
              </w:rPr>
              <w:t xml:space="preserve">cap_drop: [ALL]</w:t>
            </w:r>
          </w:p>
        </w:tc>
        <w:tc>
          <w:tcPr/>
          <w:p>
            <w:pPr>
              <w:pStyle w:val="Compact"/>
            </w:pPr>
            <w:r>
              <w:t xml:space="preserve">Alle Linux-Capabilities entfernt. Nur</w:t>
            </w:r>
            <w:r>
              <w:t xml:space="preserve"> </w:t>
            </w:r>
            <w:r>
              <w:rPr>
                <w:rStyle w:val="VerbatimChar"/>
              </w:rPr>
              <w:t xml:space="preserve">postgres</w:t>
            </w:r>
            <w:r>
              <w:t xml:space="preserve"> </w:t>
            </w:r>
            <w:r>
              <w:t xml:space="preserve">behält die für</w:t>
            </w:r>
            <w:r>
              <w:t xml:space="preserve"> </w:t>
            </w:r>
            <w:r>
              <w:rPr>
                <w:rStyle w:val="VerbatimChar"/>
              </w:rPr>
              <w:t xml:space="preserve">initdb</w:t>
            </w:r>
            <w:r>
              <w:t xml:space="preserve">/</w:t>
            </w:r>
            <w:r>
              <w:rPr>
                <w:rStyle w:val="VerbatimChar"/>
              </w:rPr>
              <w:t xml:space="preserve">chown</w:t>
            </w:r>
            <w:r>
              <w:t xml:space="preserve"> </w:t>
            </w:r>
            <w:r>
              <w:t xml:space="preserve">nötigen</w:t>
            </w:r>
            <w:r>
              <w:t xml:space="preserve"> </w:t>
            </w:r>
            <w:r>
              <w:rPr>
                <w:rStyle w:val="VerbatimChar"/>
              </w:rPr>
              <w:t xml:space="preserve">CHOWN, SETGID, SETUID, DAC_READ_SEARCH, FOWNER</w:t>
            </w:r>
            <w:r>
              <w:t xml:space="preserve">.</w:t>
            </w:r>
          </w:p>
        </w:tc>
      </w:tr>
      <w:tr>
        <w:tc>
          <w:tcPr/>
          <w:p>
            <w:pPr>
              <w:pStyle w:val="Compact"/>
            </w:pPr>
            <w:r>
              <w:rPr>
                <w:rStyle w:val="VerbatimChar"/>
              </w:rPr>
              <w:t xml:space="preserve">security_opt: [no-new-privileges:true]</w:t>
            </w:r>
          </w:p>
        </w:tc>
        <w:tc>
          <w:tcPr/>
          <w:p>
            <w:pPr>
              <w:pStyle w:val="Compact"/>
            </w:pPr>
            <w:r>
              <w:t xml:space="preserve">Prozesse können sich nicht über</w:t>
            </w:r>
            <w:r>
              <w:t xml:space="preserve"> </w:t>
            </w:r>
            <w:r>
              <w:rPr>
                <w:rStyle w:val="VerbatimChar"/>
              </w:rPr>
              <w:t xml:space="preserve">setuid</w:t>
            </w:r>
            <w:r>
              <w:t xml:space="preserve">-Binaries Rechte erweitern.</w:t>
            </w:r>
          </w:p>
        </w:tc>
      </w:tr>
      <w:tr>
        <w:tc>
          <w:tcPr/>
          <w:p>
            <w:pPr>
              <w:pStyle w:val="Compact"/>
            </w:pPr>
            <w:r>
              <w:rPr>
                <w:rStyle w:val="VerbatimChar"/>
              </w:rPr>
              <w:t xml:space="preserve">mem_limit</w:t>
            </w:r>
            <w:r>
              <w:t xml:space="preserve"> </w:t>
            </w:r>
            <w:r>
              <w:t xml:space="preserve">+</w:t>
            </w:r>
            <w:r>
              <w:t xml:space="preserve"> </w:t>
            </w:r>
            <w:r>
              <w:rPr>
                <w:rStyle w:val="VerbatimChar"/>
              </w:rPr>
              <w:t xml:space="preserve">cpus</w:t>
            </w:r>
          </w:p>
        </w:tc>
        <w:tc>
          <w:tcPr/>
          <w:p>
            <w:pPr>
              <w:pStyle w:val="Compact"/>
            </w:pPr>
            <w:r>
              <w:t xml:space="preserve">Ressourcen-Limits pro Service (</w:t>
            </w:r>
            <w:r>
              <w:rPr>
                <w:rStyle w:val="VerbatimChar"/>
              </w:rPr>
              <w:t xml:space="preserve">db</w:t>
            </w:r>
            <w:r>
              <w:t xml:space="preserve"> </w:t>
            </w:r>
            <w:r>
              <w:t xml:space="preserve">512m/1.0,</w:t>
            </w:r>
            <w:r>
              <w:t xml:space="preserve"> </w:t>
            </w:r>
            <w:r>
              <w:rPr>
                <w:rStyle w:val="VerbatimChar"/>
              </w:rPr>
              <w:t xml:space="preserve">keycloak</w:t>
            </w:r>
            <w:r>
              <w:t xml:space="preserve"> </w:t>
            </w:r>
            <w:r>
              <w:t xml:space="preserve">768m/1.0,</w:t>
            </w:r>
            <w:r>
              <w:t xml:space="preserve"> </w:t>
            </w:r>
            <w:r>
              <w:rPr>
                <w:rStyle w:val="VerbatimChar"/>
              </w:rPr>
              <w:t xml:space="preserve">backend</w:t>
            </w:r>
            <w:r>
              <w:t xml:space="preserve"> </w:t>
            </w:r>
            <w:r>
              <w:t xml:space="preserve">768m/1.0,</w:t>
            </w:r>
            <w:r>
              <w:t xml:space="preserve"> </w:t>
            </w:r>
            <w:r>
              <w:rPr>
                <w:rStyle w:val="VerbatimChar"/>
              </w:rPr>
              <w:t xml:space="preserve">frontend</w:t>
            </w:r>
            <w:r>
              <w:t xml:space="preserve"> </w:t>
            </w:r>
            <w:r>
              <w:t xml:space="preserve">128m/0.5) verhindern Container-übergreifende DoS.</w:t>
            </w:r>
          </w:p>
        </w:tc>
      </w:tr>
      <w:tr>
        <w:tc>
          <w:tcPr/>
          <w:p>
            <w:pPr>
              <w:pStyle w:val="Compact"/>
            </w:pPr>
            <w:r>
              <w:rPr>
                <w:rStyle w:val="VerbatimChar"/>
              </w:rPr>
              <w:t xml:space="preserve">HEALTHCHECK</w:t>
            </w:r>
            <w:r>
              <w:t xml:space="preserve"> </w:t>
            </w:r>
            <w:r>
              <w:t xml:space="preserve">in den Dockerfiles</w:t>
            </w:r>
          </w:p>
        </w:tc>
        <w:tc>
          <w:tcPr/>
          <w:p>
            <w:pPr>
              <w:pStyle w:val="Compact"/>
            </w:pPr>
            <w:r>
              <w:rPr>
                <w:rStyle w:val="VerbatimChar"/>
              </w:rPr>
              <w:t xml:space="preserve">backend</w:t>
            </w:r>
            <w:r>
              <w:t xml:space="preserve"> </w:t>
            </w:r>
            <w:r>
              <w:t xml:space="preserve">prüft</w:t>
            </w:r>
            <w:r>
              <w:t xml:space="preserve"> </w:t>
            </w:r>
            <w:r>
              <w:rPr>
                <w:rStyle w:val="VerbatimChar"/>
              </w:rPr>
              <w:t xml:space="preserve">/actuator/health</w:t>
            </w:r>
            <w:r>
              <w:t xml:space="preserve"> </w:t>
            </w:r>
            <w:r>
              <w:t xml:space="preserve">(</w:t>
            </w:r>
            <w:r>
              <w:rPr>
                <w:rStyle w:val="VerbatimChar"/>
              </w:rPr>
              <w:t xml:space="preserve">permitAll</w:t>
            </w:r>
            <w:r>
              <w:t xml:space="preserve">),</w:t>
            </w:r>
            <w:r>
              <w:t xml:space="preserve"> </w:t>
            </w:r>
            <w:r>
              <w:rPr>
                <w:rStyle w:val="VerbatimChar"/>
              </w:rPr>
              <w:t xml:space="preserve">frontend</w:t>
            </w:r>
            <w:r>
              <w:t xml:space="preserve"> </w:t>
            </w:r>
            <w:r>
              <w:t xml:space="preserve">prüft Root-Path — orchestrator-agnostische Liveness.</w:t>
            </w:r>
          </w:p>
        </w:tc>
      </w:tr>
    </w:tbl>
    <w:p>
      <w:pPr>
        <w:pStyle w:val="BodyText"/>
      </w:pPr>
      <w:r>
        <w:t xml:space="preserve">Die Frontend-Portumlegung — Host-Port 80 mappt nun auf Container-Port 8080 — folgt direkt aus dem Wechsel auf</w:t>
      </w:r>
      <w:r>
        <w:t xml:space="preserve"> </w:t>
      </w:r>
      <w:r>
        <w:rPr>
          <w:rStyle w:val="VerbatimChar"/>
        </w:rPr>
        <w:t xml:space="preserve">nginxinc/nginx-unprivileged</w:t>
      </w:r>
      <w:r>
        <w:t xml:space="preserve"> </w:t>
      </w:r>
      <w:r>
        <w:t xml:space="preserve">(Privileged Bind unter 1024 entfällt).</w:t>
      </w:r>
    </w:p>
    <w:bookmarkEnd w:id="57"/>
    <w:bookmarkStart w:id="58" w:name="Xa9d98596bd85000b5876dd6018452ee1243d56d"/>
    <w:p>
      <w:pPr>
        <w:pStyle w:val="Heading3"/>
      </w:pPr>
      <w:r>
        <w:t xml:space="preserve">7.1.2 Security-Header im nginx (TEN-62 / STRIDE T1)</w:t>
      </w:r>
    </w:p>
    <w:p>
      <w:pPr>
        <w:pStyle w:val="FirstParagraph"/>
      </w:pPr>
      <w:r>
        <w:t xml:space="preserve">Der nginx vor der Angular-SPA setzt folgende Security-Header auf jeder Antwort (</w:t>
      </w:r>
      <w:r>
        <w:rPr>
          <w:rStyle w:val="VerbatimChar"/>
        </w:rPr>
        <w:t xml:space="preserve">add_header … always;</w:t>
      </w:r>
      <w:r>
        <w:t xml:space="preserve"> </w:t>
      </w:r>
      <w:r>
        <w:t xml:space="preserve">auf Server-Scope, vererbt durch alle Locations — auch durch die</w:t>
      </w:r>
      <w:r>
        <w:t xml:space="preserve"> </w:t>
      </w:r>
      <w:r>
        <w:rPr>
          <w:rStyle w:val="VerbatimChar"/>
        </w:rPr>
        <w:t xml:space="preserve">/api/</w:t>
      </w:r>
      <w:r>
        <w:t xml:space="preserve">-Proxy-Location und den</w:t>
      </w:r>
      <w:r>
        <w:t xml:space="preserve"> </w:t>
      </w:r>
      <w:r>
        <w:rPr>
          <w:rStyle w:val="VerbatimChar"/>
        </w:rPr>
        <w:t xml:space="preserve">try_files</w:t>
      </w:r>
      <w:r>
        <w:t xml:space="preserve">-Fallback):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Header</w:t>
            </w:r>
          </w:p>
        </w:tc>
        <w:tc>
          <w:tcPr/>
          <w:p>
            <w:pPr>
              <w:pStyle w:val="Compact"/>
            </w:pPr>
            <w:r>
              <w:t xml:space="preserve">Wert</w:t>
            </w:r>
          </w:p>
        </w:tc>
        <w:tc>
          <w:tcPr/>
          <w:p>
            <w:pPr>
              <w:pStyle w:val="Compact"/>
            </w:pPr>
            <w:r>
              <w:t xml:space="preserve">Wirkung</w:t>
            </w:r>
          </w:p>
        </w:tc>
      </w:tr>
      <w:tr>
        <w:tc>
          <w:tcPr/>
          <w:p>
            <w:pPr>
              <w:pStyle w:val="Compact"/>
            </w:pPr>
            <w:r>
              <w:rPr>
                <w:rStyle w:val="VerbatimChar"/>
              </w:rPr>
              <w:t xml:space="preserve">Strict-Transport-Security</w:t>
            </w:r>
          </w:p>
        </w:tc>
        <w:tc>
          <w:tcPr/>
          <w:p>
            <w:pPr>
              <w:pStyle w:val="Compact"/>
            </w:pPr>
            <w:r>
              <w:rPr>
                <w:rStyle w:val="VerbatimChar"/>
              </w:rPr>
              <w:t xml:space="preserve">max-age=31536000; includeSubDomains; preload</w:t>
            </w:r>
          </w:p>
        </w:tc>
        <w:tc>
          <w:tcPr/>
          <w:p>
            <w:pPr>
              <w:pStyle w:val="Compact"/>
            </w:pPr>
            <w:r>
              <w:t xml:space="preserve">Erzwingt HTTPS für 1 Jahr inkl. Subdomains; greift erst wenn der TLS-Terminator vor nginx aktiv ist (kein Effekt über plain HTTP).</w:t>
            </w:r>
          </w:p>
        </w:tc>
      </w:tr>
      <w:tr>
        <w:tc>
          <w:tcPr/>
          <w:p>
            <w:pPr>
              <w:pStyle w:val="Compact"/>
            </w:pPr>
            <w:r>
              <w:rPr>
                <w:rStyle w:val="VerbatimChar"/>
              </w:rPr>
              <w:t xml:space="preserve">Content-Security-Policy</w:t>
            </w:r>
          </w:p>
        </w:tc>
        <w:tc>
          <w:tcPr/>
          <w:p>
            <w:pPr>
              <w:pStyle w:val="Compact"/>
            </w:pPr>
            <w:r>
              <w:rPr>
                <w:rStyle w:val="VerbatimChar"/>
              </w:rPr>
              <w:t xml:space="preserve">default-src 'self'; script-src 'self'; style-src 'self' 'unsafe-inline'; img-src 'self' data:; font-src 'self' data:; connect-src 'self' https://localhost:8443; frame-src 'self' https://localhost:8443; frame-ancestors 'none'; object-src 'none'; base-uri 'self'; form-action 'self' https://localhost:8443</w:t>
            </w:r>
          </w:p>
        </w:tc>
        <w:tc>
          <w:tcPr/>
          <w:p>
            <w:pPr>
              <w:pStyle w:val="Compact"/>
            </w:pPr>
            <w:r>
              <w:t xml:space="preserve">XSS-Mitigation.</w:t>
            </w:r>
            <w:r>
              <w:t xml:space="preserve"> </w:t>
            </w:r>
            <w:r>
              <w:rPr>
                <w:rStyle w:val="VerbatimChar"/>
              </w:rPr>
              <w:t xml:space="preserve">'unsafe-inline'</w:t>
            </w:r>
            <w:r>
              <w:t xml:space="preserve"> </w:t>
            </w:r>
            <w:r>
              <w:t xml:space="preserve">bei</w:t>
            </w:r>
            <w:r>
              <w:t xml:space="preserve"> </w:t>
            </w:r>
            <w:r>
              <w:rPr>
                <w:rStyle w:val="VerbatimChar"/>
              </w:rPr>
              <w:t xml:space="preserve">style-src</w:t>
            </w:r>
            <w:r>
              <w:t xml:space="preserve"> </w:t>
            </w:r>
            <w:r>
              <w:t xml:space="preserve">ist nötig für Angular Materials Runtime-Style-Injection (kein SSR/Nonces in dieser Build-Variante).</w:t>
            </w:r>
            <w:r>
              <w:t xml:space="preserve"> </w:t>
            </w:r>
            <w:r>
              <w:rPr>
                <w:rStyle w:val="VerbatimChar"/>
              </w:rPr>
              <w:t xml:space="preserve">connect-src</w:t>
            </w:r>
            <w:r>
              <w:t xml:space="preserve">/</w:t>
            </w:r>
            <w:r>
              <w:rPr>
                <w:rStyle w:val="VerbatimChar"/>
              </w:rPr>
              <w:t xml:space="preserve">form-action</w:t>
            </w:r>
            <w:r>
              <w:t xml:space="preserve"> </w:t>
            </w:r>
            <w:r>
              <w:t xml:space="preserve">enthalten die Keycloak-Realm, damit der OAuth2/PKCE-Flow funktioniert.</w:t>
            </w:r>
            <w:r>
              <w:t xml:space="preserve"> </w:t>
            </w:r>
            <w:r>
              <w:rPr>
                <w:rStyle w:val="VerbatimChar"/>
              </w:rPr>
              <w:t xml:space="preserve">frame-ancestors 'none'</w:t>
            </w:r>
            <w:r>
              <w:t xml:space="preserve"> </w:t>
            </w:r>
            <w:r>
              <w:t xml:space="preserve">blockiert Clickjacking.</w:t>
            </w:r>
          </w:p>
        </w:tc>
      </w:tr>
      <w:tr>
        <w:tc>
          <w:tcPr/>
          <w:p>
            <w:pPr>
              <w:pStyle w:val="Compact"/>
            </w:pPr>
            <w:r>
              <w:rPr>
                <w:rStyle w:val="VerbatimChar"/>
              </w:rPr>
              <w:t xml:space="preserve">X-Content-Type-Options</w:t>
            </w:r>
          </w:p>
        </w:tc>
        <w:tc>
          <w:tcPr/>
          <w:p>
            <w:pPr>
              <w:pStyle w:val="Compact"/>
            </w:pPr>
            <w:r>
              <w:rPr>
                <w:rStyle w:val="VerbatimChar"/>
              </w:rPr>
              <w:t xml:space="preserve">nosniff</w:t>
            </w:r>
          </w:p>
        </w:tc>
        <w:tc>
          <w:tcPr/>
          <w:p>
            <w:pPr>
              <w:pStyle w:val="Compact"/>
            </w:pPr>
            <w:r>
              <w:t xml:space="preserve">Verhindert MIME-Sniffing. Spring Security setzt diesen Header zusätzlich auf API-Antworten — die Duplikation ist harmlos (identischer Wert).</w:t>
            </w:r>
          </w:p>
        </w:tc>
      </w:tr>
      <w:tr>
        <w:tc>
          <w:tcPr/>
          <w:p>
            <w:pPr>
              <w:pStyle w:val="Compact"/>
            </w:pPr>
            <w:r>
              <w:rPr>
                <w:rStyle w:val="VerbatimChar"/>
              </w:rPr>
              <w:t xml:space="preserve">Referrer-Policy</w:t>
            </w:r>
          </w:p>
        </w:tc>
        <w:tc>
          <w:tcPr/>
          <w:p>
            <w:pPr>
              <w:pStyle w:val="Compact"/>
            </w:pPr>
            <w:r>
              <w:rPr>
                <w:rStyle w:val="VerbatimChar"/>
              </w:rPr>
              <w:t xml:space="preserve">strict-origin-when-cross-origin</w:t>
            </w:r>
          </w:p>
        </w:tc>
        <w:tc>
          <w:tcPr/>
          <w:p>
            <w:pPr>
              <w:pStyle w:val="Compact"/>
            </w:pPr>
            <w:r>
              <w:t xml:space="preserve">Verhindert Referrer-Leakage an Dritte.</w:t>
            </w:r>
          </w:p>
        </w:tc>
      </w:tr>
      <w:tr>
        <w:tc>
          <w:tcPr/>
          <w:p>
            <w:pPr>
              <w:pStyle w:val="Compact"/>
            </w:pPr>
            <w:r>
              <w:rPr>
                <w:rStyle w:val="VerbatimChar"/>
              </w:rPr>
              <w:t xml:space="preserve">Permissions-Policy</w:t>
            </w:r>
          </w:p>
        </w:tc>
        <w:tc>
          <w:tcPr/>
          <w:p>
            <w:pPr>
              <w:pStyle w:val="Compact"/>
            </w:pPr>
            <w:r>
              <w:rPr>
                <w:rStyle w:val="VerbatimChar"/>
              </w:rPr>
              <w:t xml:space="preserve">camera=(), microphone=(), geolocation=(), payment=(), usb=(), magnetometer=(), gyroscope=(), accelerometer=(), fullscreen=(self)</w:t>
            </w:r>
          </w:p>
        </w:tc>
        <w:tc>
          <w:tcPr/>
          <w:p>
            <w:pPr>
              <w:pStyle w:val="Compact"/>
            </w:pPr>
            <w:r>
              <w:t xml:space="preserve">Sperrt Browser-APIs, die die SPA nicht braucht — verhindert Eskalation eines XSS in Device-API-Zugriff.</w:t>
            </w:r>
          </w:p>
        </w:tc>
      </w:tr>
    </w:tbl>
    <w:bookmarkEnd w:id="58"/>
    <w:bookmarkStart w:id="59" w:name="X2a7543e4ce1d8cef53d49e08dd93032c3fd33b0"/>
    <w:p>
      <w:pPr>
        <w:pStyle w:val="Heading3"/>
      </w:pPr>
      <w:r>
        <w:t xml:space="preserve">7.1.3 Rate-Limits + E-Mail-Verifizierung (TEN-64 / STRIDE D1+D2+S2)</w:t>
      </w:r>
    </w:p>
    <w:p>
      <w:pPr>
        <w:pStyle w:val="FirstParagraph"/>
      </w:pPr>
      <w:r>
        <w:t xml:space="preserve">Der KI-Match-Analyse-Endpoint löst kostenpflichtige LLM-Aufrufe aus. Kombiniert mit der offenen Self-Registration im Keycloak-Realm entsteht ein finanzielles DoS-Risiko. TEN-64 setzt drei Schutzschichten:</w:t>
      </w:r>
    </w:p>
    <w:p>
      <w:pPr>
        <w:pStyle w:val="Compact"/>
        <w:numPr>
          <w:ilvl w:val="0"/>
          <w:numId w:val="1007"/>
        </w:numPr>
      </w:pPr>
      <w:r>
        <w:rPr>
          <w:b/>
          <w:bCs/>
        </w:rPr>
        <w:t xml:space="preserve">Per-User-Token-Bucket im Backend</w:t>
      </w:r>
      <w:r>
        <w:t xml:space="preserve"> </w:t>
      </w:r>
      <w:r>
        <w:t xml:space="preserve">(</w:t>
      </w:r>
      <w:r>
        <w:rPr>
          <w:rStyle w:val="VerbatimChar"/>
        </w:rPr>
        <w:t xml:space="preserve">AnalysisRateLimiter</w:t>
      </w:r>
      <w:r>
        <w:t xml:space="preserve"> </w:t>
      </w:r>
      <w:r>
        <w:t xml:space="preserve">im</w:t>
      </w:r>
      <w:r>
        <w:t xml:space="preserve"> </w:t>
      </w:r>
      <w:r>
        <w:rPr>
          <w:rStyle w:val="VerbatimChar"/>
        </w:rPr>
        <w:t xml:space="preserve">ai-module</w:t>
      </w:r>
      <w:r>
        <w:t xml:space="preserve">, Bucket4j 8.14). Zwei Bandwidths gleichzeitig: 5 Aufrufe/Tag und 1 Aufruf/Minute pro Nutzer (</w:t>
      </w:r>
      <w:r>
        <w:rPr>
          <w:rStyle w:val="VerbatimChar"/>
        </w:rPr>
        <w:t xml:space="preserve">tsas.ai.rate-limit.per-day</w:t>
      </w:r>
      <w:r>
        <w:t xml:space="preserve"> </w:t>
      </w:r>
      <w:r>
        <w:t xml:space="preserve">/</w:t>
      </w:r>
      <w:r>
        <w:t xml:space="preserve"> </w:t>
      </w:r>
      <w:r>
        <w:rPr>
          <w:rStyle w:val="VerbatimChar"/>
        </w:rPr>
        <w:t xml:space="preserve">per-minute</w:t>
      </w:r>
      <w:r>
        <w:t xml:space="preserve">). Ein</w:t>
      </w:r>
      <w:r>
        <w:t xml:space="preserve"> </w:t>
      </w:r>
      <w:r>
        <w:rPr>
          <w:rStyle w:val="VerbatimChar"/>
        </w:rPr>
        <w:t xml:space="preserve">HandlerInterceptor</w:t>
      </w:r>
      <w:r>
        <w:t xml:space="preserve"> </w:t>
      </w:r>
      <w:r>
        <w:t xml:space="preserve">greift nur auf</w:t>
      </w:r>
      <w:r>
        <w:t xml:space="preserve"> </w:t>
      </w:r>
      <w:r>
        <w:rPr>
          <w:rStyle w:val="VerbatimChar"/>
        </w:rPr>
        <w:t xml:space="preserve">POST /api/matches/*/analysis</w:t>
      </w:r>
      <w:r>
        <w:t xml:space="preserve"> </w:t>
      </w:r>
      <w:r>
        <w:t xml:space="preserve">(GET ist nicht limitiert). Bei Erfolg setzt der Interceptor</w:t>
      </w:r>
      <w:r>
        <w:t xml:space="preserve"> </w:t>
      </w:r>
      <w:r>
        <w:rPr>
          <w:rStyle w:val="VerbatimChar"/>
        </w:rPr>
        <w:t xml:space="preserve">X-RateLimit-Limit</w:t>
      </w:r>
      <w:r>
        <w:t xml:space="preserve"> </w:t>
      </w:r>
      <w:r>
        <w:t xml:space="preserve">und</w:t>
      </w:r>
      <w:r>
        <w:t xml:space="preserve"> </w:t>
      </w:r>
      <w:r>
        <w:rPr>
          <w:rStyle w:val="VerbatimChar"/>
        </w:rPr>
        <w:t xml:space="preserve">X-RateLimit-Remaining</w:t>
      </w:r>
      <w:r>
        <w:t xml:space="preserve">; bei Ablehnung kommt HTTP</w:t>
      </w:r>
      <w:r>
        <w:t xml:space="preserve"> </w:t>
      </w:r>
      <w:r>
        <w:rPr>
          <w:b/>
          <w:bCs/>
        </w:rPr>
        <w:t xml:space="preserve">429</w:t>
      </w:r>
      <w:r>
        <w:t xml:space="preserve"> </w:t>
      </w:r>
      <w:r>
        <w:t xml:space="preserve">mit</w:t>
      </w:r>
      <w:r>
        <w:t xml:space="preserve"> </w:t>
      </w:r>
      <w:r>
        <w:rPr>
          <w:rStyle w:val="VerbatimChar"/>
        </w:rPr>
        <w:t xml:space="preserve">Retry-After</w:t>
      </w:r>
      <w:r>
        <w:t xml:space="preserve"> </w:t>
      </w:r>
      <w:r>
        <w:t xml:space="preserve">und RFC-7807-</w:t>
      </w:r>
      <w:r>
        <w:rPr>
          <w:rStyle w:val="VerbatimChar"/>
        </w:rPr>
        <w:t xml:space="preserve">ProblemDetail</w:t>
      </w:r>
      <w:r>
        <w:t xml:space="preserve">. Micrometer-Counter</w:t>
      </w:r>
      <w:r>
        <w:t xml:space="preserve"> </w:t>
      </w:r>
      <w:r>
        <w:rPr>
          <w:rStyle w:val="VerbatimChar"/>
        </w:rPr>
        <w:t xml:space="preserve">tsas.ai.calls.total{outcome=allowed|rate_limited, user=...}</w:t>
      </w:r>
      <w:r>
        <w:t xml:space="preserve"> </w:t>
      </w:r>
      <w:r>
        <w:t xml:space="preserve">zählt Aufrufe pro Outcome und Nutzer; abrufbar via</w:t>
      </w:r>
      <w:r>
        <w:t xml:space="preserve"> </w:t>
      </w:r>
      <w:r>
        <w:rPr>
          <w:rStyle w:val="VerbatimChar"/>
        </w:rPr>
        <w:t xml:space="preserve">GET /actuator/metrics/tsas.ai.calls.total</w:t>
      </w:r>
      <w:r>
        <w:t xml:space="preserve">. Single-Instance-Limit — für skalierte Deployments den</w:t>
      </w:r>
      <w:r>
        <w:t xml:space="preserve"> </w:t>
      </w:r>
      <w:r>
        <w:rPr>
          <w:rStyle w:val="VerbatimChar"/>
        </w:rPr>
        <w:t xml:space="preserve">ConcurrentMap</w:t>
      </w:r>
      <w:r>
        <w:t xml:space="preserve">-Backend durch Bucket4j-Distributed (Redis/Hazelcast) ersetzen.</w:t>
      </w:r>
    </w:p>
    <w:p>
      <w:pPr>
        <w:pStyle w:val="Compact"/>
        <w:numPr>
          <w:ilvl w:val="0"/>
          <w:numId w:val="1007"/>
        </w:numPr>
      </w:pPr>
      <w:r>
        <w:rPr>
          <w:b/>
          <w:bCs/>
        </w:rPr>
        <w:t xml:space="preserve">Per-IP-Limit im Frontend-Reverse-Proxy</w:t>
      </w:r>
      <w:r>
        <w:t xml:space="preserve"> </w:t>
      </w:r>
      <w:r>
        <w:t xml:space="preserve">(</w:t>
      </w:r>
      <w:r>
        <w:rPr>
          <w:rStyle w:val="VerbatimChar"/>
        </w:rPr>
        <w:t xml:space="preserve">nginx limit_req_zone</w:t>
      </w:r>
      <w:r>
        <w:t xml:space="preserve">).</w:t>
      </w:r>
      <w:r>
        <w:t xml:space="preserve"> </w:t>
      </w:r>
      <w:r>
        <w:rPr>
          <w:rStyle w:val="VerbatimChar"/>
        </w:rPr>
        <w:t xml:space="preserve">rate=5r/m, burst=5, nodelay</w:t>
      </w:r>
      <w:r>
        <w:t xml:space="preserve"> </w:t>
      </w:r>
      <w:r>
        <w:t xml:space="preserve">auf einer regex-Location</w:t>
      </w:r>
      <w:r>
        <w:t xml:space="preserve"> </w:t>
      </w:r>
      <w:r>
        <w:rPr>
          <w:rStyle w:val="VerbatimChar"/>
        </w:rPr>
        <w:t xml:space="preserve">^/api/matches/[^/]+/analysis$</w:t>
      </w:r>
      <w:r>
        <w:t xml:space="preserve">. nginx antwortet überzähligen Requests direkt mit</w:t>
      </w:r>
      <w:r>
        <w:t xml:space="preserve"> </w:t>
      </w:r>
      <w:r>
        <w:rPr>
          <w:b/>
          <w:bCs/>
        </w:rPr>
        <w:t xml:space="preserve">429</w:t>
      </w:r>
      <w:r>
        <w:t xml:space="preserve"> </w:t>
      </w:r>
      <w:r>
        <w:t xml:space="preserve">(</w:t>
      </w:r>
      <w:r>
        <w:rPr>
          <w:rStyle w:val="VerbatimChar"/>
        </w:rPr>
        <w:t xml:space="preserve">limit_req_status 429</w:t>
      </w:r>
      <w:r>
        <w:t xml:space="preserve">), ohne das Backend zu erreichen.</w:t>
      </w:r>
    </w:p>
    <w:p>
      <w:pPr>
        <w:pStyle w:val="Compact"/>
        <w:numPr>
          <w:ilvl w:val="0"/>
          <w:numId w:val="1007"/>
        </w:numPr>
      </w:pPr>
      <w:r>
        <w:rPr>
          <w:b/>
          <w:bCs/>
        </w:rPr>
        <w:t xml:space="preserve">E-Mail-Verifizierung beim Keycloak-Self-Registration</w:t>
      </w:r>
      <w:r>
        <w:t xml:space="preserve">.</w:t>
      </w:r>
      <w:r>
        <w:t xml:space="preserve"> </w:t>
      </w:r>
      <w:r>
        <w:rPr>
          <w:rStyle w:val="VerbatimChar"/>
        </w:rPr>
        <w:t xml:space="preserve">verifyEmail: true</w:t>
      </w:r>
      <w:r>
        <w:t xml:space="preserve"> </w:t>
      </w:r>
      <w:r>
        <w:t xml:space="preserve">im Realm-Export plus SMTP-Konfiguration gegen einen lokalen Mailhog-Container (</w:t>
      </w:r>
      <w:r>
        <w:rPr>
          <w:rStyle w:val="VerbatimChar"/>
        </w:rPr>
        <w:t xml:space="preserve">docker/compose.yml</w:t>
      </w:r>
      <w:r>
        <w:t xml:space="preserve"> </w:t>
      </w:r>
      <w:r>
        <w:t xml:space="preserve">Service</w:t>
      </w:r>
      <w:r>
        <w:t xml:space="preserve"> </w:t>
      </w:r>
      <w:r>
        <w:rPr>
          <w:rStyle w:val="VerbatimChar"/>
        </w:rPr>
        <w:t xml:space="preserve">mailhog</w:t>
      </w:r>
      <w:r>
        <w:t xml:space="preserve">, UI auf</w:t>
      </w:r>
      <w:r>
        <w:t xml:space="preserve"> </w:t>
      </w:r>
      <w:r>
        <w:rPr>
          <w:rStyle w:val="VerbatimChar"/>
        </w:rPr>
        <w:t xml:space="preserve">http://localhost:8025</w:t>
      </w:r>
      <w:r>
        <w:t xml:space="preserve">). Damit kann niemand sich mit beliebigen E-Mails endlos registrieren, um die Backend-Limits per neuer Identität zu umgehen. Die SMTP-Felder im</w:t>
      </w:r>
      <w:r>
        <w:t xml:space="preserve"> </w:t>
      </w:r>
      <w:r>
        <w:rPr>
          <w:rStyle w:val="VerbatimChar"/>
        </w:rPr>
        <w:t xml:space="preserve">realm-export.json</w:t>
      </w:r>
      <w:r>
        <w:t xml:space="preserve"> </w:t>
      </w:r>
      <w:r>
        <w:t xml:space="preserve">sind über</w:t>
      </w:r>
      <w:r>
        <w:t xml:space="preserve"> </w:t>
      </w:r>
      <w:r>
        <w:rPr>
          <w:rStyle w:val="VerbatimChar"/>
        </w:rPr>
        <w:t xml:space="preserve">${KC_SMTP_HOST:mailhog}</w:t>
      </w:r>
      <w:r>
        <w:t xml:space="preserve">-Platzhalter parametrisiert; Dev nutzt Mailhog als Default, Prod überschreibt via Env-Vars (</w:t>
      </w:r>
      <w:r>
        <w:rPr>
          <w:rStyle w:val="VerbatimChar"/>
        </w:rPr>
        <w:t xml:space="preserve">KC_SMTP_HOST</w:t>
      </w:r>
      <w:r>
        <w:t xml:space="preserve">,</w:t>
      </w:r>
      <w:r>
        <w:t xml:space="preserve"> </w:t>
      </w:r>
      <w:r>
        <w:rPr>
          <w:rStyle w:val="VerbatimChar"/>
        </w:rPr>
        <w:t xml:space="preserve">KC_SMTP_PORT</w:t>
      </w:r>
      <w:r>
        <w:t xml:space="preserve">,</w:t>
      </w:r>
      <w:r>
        <w:t xml:space="preserve"> </w:t>
      </w:r>
      <w:r>
        <w:rPr>
          <w:rStyle w:val="VerbatimChar"/>
        </w:rPr>
        <w:t xml:space="preserve">KC_SMTP_AUTH</w:t>
      </w:r>
      <w:r>
        <w:t xml:space="preserve">,</w:t>
      </w:r>
      <w:r>
        <w:t xml:space="preserve"> </w:t>
      </w:r>
      <w:r>
        <w:rPr>
          <w:rStyle w:val="VerbatimChar"/>
        </w:rPr>
        <w:t xml:space="preserve">KC_SMTP_STARTTLS</w:t>
      </w:r>
      <w:r>
        <w:t xml:space="preserve">,</w:t>
      </w:r>
      <w:r>
        <w:t xml:space="preserve"> </w:t>
      </w:r>
      <w:r>
        <w:rPr>
          <w:rStyle w:val="VerbatimChar"/>
        </w:rPr>
        <w:t xml:space="preserve">KC_SMTP_USER</w:t>
      </w:r>
      <w:r>
        <w:t xml:space="preserve">,</w:t>
      </w:r>
      <w:r>
        <w:t xml:space="preserve"> </w:t>
      </w:r>
      <w:r>
        <w:rPr>
          <w:rStyle w:val="VerbatimChar"/>
        </w:rPr>
        <w:t xml:space="preserve">KC_SMTP_PASSWORD</w:t>
      </w:r>
      <w:r>
        <w:t xml:space="preserve"> </w:t>
      </w:r>
      <w:r>
        <w:t xml:space="preserve">etc.) — typischerweise via</w:t>
      </w:r>
      <w:r>
        <w:t xml:space="preserve"> </w:t>
      </w:r>
      <w:r>
        <w:rPr>
          <w:rStyle w:val="VerbatimChar"/>
        </w:rPr>
        <w:t xml:space="preserve">.env</w:t>
      </w:r>
      <w:r>
        <w:t xml:space="preserve">-Datei neben</w:t>
      </w:r>
      <w:r>
        <w:t xml:space="preserve"> </w:t>
      </w:r>
      <w:r>
        <w:rPr>
          <w:rStyle w:val="VerbatimChar"/>
        </w:rPr>
        <w:t xml:space="preserve">docker/compose.yml</w:t>
      </w:r>
      <w:r>
        <w:t xml:space="preserve">. Realm-Import-Strategie ist</w:t>
      </w:r>
      <w:r>
        <w:t xml:space="preserve"> </w:t>
      </w:r>
      <w:r>
        <w:rPr>
          <w:rStyle w:val="VerbatimChar"/>
        </w:rPr>
        <w:t xml:space="preserve">IGNORE_EXISTING</w:t>
      </w:r>
      <w:r>
        <w:t xml:space="preserve">: SMTP-Änderungen greifen nur bei frischem</w:t>
      </w:r>
      <w:r>
        <w:t xml:space="preserve"> </w:t>
      </w:r>
      <w:r>
        <w:rPr>
          <w:rStyle w:val="VerbatimChar"/>
        </w:rPr>
        <w:t xml:space="preserve">keycloak_data</w:t>
      </w:r>
      <w:r>
        <w:t xml:space="preserve">-Volume oder per Admin-API-PATCH zur Laufzeit.</w:t>
      </w:r>
    </w:p>
    <w:p>
      <w:pPr>
        <w:pStyle w:val="FirstParagraph"/>
      </w:pPr>
      <w:r>
        <w:t xml:space="preserve">Verifiziert via Burst-Integrationstest (</w:t>
      </w:r>
      <w:r>
        <w:rPr>
          <w:rStyle w:val="VerbatimChar"/>
        </w:rPr>
        <w:t xml:space="preserve">MatchAnalysisRateLimitIT</w:t>
      </w:r>
      <w:r>
        <w:t xml:space="preserve">): 2 erfolgreiche POSTs → 3. POST liefert HTTP 429 mit korrektem</w:t>
      </w:r>
      <w:r>
        <w:t xml:space="preserve"> </w:t>
      </w:r>
      <w:r>
        <w:rPr>
          <w:rStyle w:val="VerbatimChar"/>
        </w:rPr>
        <w:t xml:space="preserve">Retry-After</w:t>
      </w:r>
      <w:r>
        <w:t xml:space="preserve">-Header.</w:t>
      </w:r>
    </w:p>
    <w:bookmarkEnd w:id="59"/>
    <w:bookmarkStart w:id="60" w:name="Xe08da67790b03b2d6c3339f68b193417a43570a"/>
    <w:p>
      <w:pPr>
        <w:pStyle w:val="Heading3"/>
      </w:pPr>
      <w:r>
        <w:t xml:space="preserve">7.1.4 TLS &amp; Secret-Hygiene im Prod-Overlay (TEN-58 / STRIDE T1+S3+S4+I3+D6)</w:t>
      </w:r>
    </w:p>
    <w:p>
      <w:pPr>
        <w:pStyle w:val="FirstParagraph"/>
      </w:pPr>
      <w:r>
        <w:t xml:space="preserve">Der Basis-Compose-File (</w:t>
      </w:r>
      <w:r>
        <w:rPr>
          <w:rStyle w:val="VerbatimChar"/>
        </w:rPr>
        <w:t xml:space="preserve">docker/compose.yml</w:t>
      </w:r>
      <w:r>
        <w:t xml:space="preserve">) ist auf bequemen Dev-Betrieb getrimmt — Default-Credentials (</w:t>
      </w:r>
      <w:r>
        <w:rPr>
          <w:rStyle w:val="VerbatimChar"/>
        </w:rPr>
        <w:t xml:space="preserve">tsas/tsas</w:t>
      </w:r>
      <w:r>
        <w:t xml:space="preserve">,</w:t>
      </w:r>
      <w:r>
        <w:t xml:space="preserve"> </w:t>
      </w:r>
      <w:r>
        <w:rPr>
          <w:rStyle w:val="VerbatimChar"/>
        </w:rPr>
        <w:t xml:space="preserve">admin/admin</w:t>
      </w:r>
      <w:r>
        <w:t xml:space="preserve">), Mailhog statt echtem SMTP, Keycloak im</w:t>
      </w:r>
      <w:r>
        <w:t xml:space="preserve"> </w:t>
      </w:r>
      <w:r>
        <w:rPr>
          <w:rStyle w:val="VerbatimChar"/>
        </w:rPr>
        <w:t xml:space="preserve">start-dev</w:t>
      </w:r>
      <w:r>
        <w:t xml:space="preserve">-Modus mit H2-Volume, nginx auf HTTP. Für produktionsnahe Auslieferung gibt es einen zusätzlichen Overlay</w:t>
      </w:r>
      <w:r>
        <w:t xml:space="preserve"> </w:t>
      </w:r>
      <w:r>
        <w:rPr>
          <w:rStyle w:val="VerbatimChar"/>
        </w:rPr>
        <w:t xml:space="preserve">docker/compose.prod.yml</w:t>
      </w:r>
      <w:r>
        <w:t xml:space="preserve">, der den Basis-Stack so überschreibt, dass die STRIDE-Befunde T1, S3, S4, I3 und D6 mitigiert sind: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Komponente</w:t>
            </w:r>
          </w:p>
        </w:tc>
        <w:tc>
          <w:tcPr/>
          <w:p>
            <w:pPr>
              <w:pStyle w:val="Compact"/>
            </w:pPr>
            <w:r>
              <w:t xml:space="preserve">Massnahme</w:t>
            </w:r>
          </w:p>
        </w:tc>
      </w:tr>
      <w:tr>
        <w:tc>
          <w:tcPr/>
          <w:p>
            <w:pPr>
              <w:pStyle w:val="Compact"/>
            </w:pPr>
            <w:r>
              <w:rPr>
                <w:b/>
                <w:bCs/>
              </w:rPr>
              <w:t xml:space="preserve">nginx (</w:t>
            </w:r>
            <w:r>
              <w:rPr>
                <w:rStyle w:val="VerbatimChar"/>
                <w:b/>
                <w:bCs/>
              </w:rPr>
              <w:t xml:space="preserve">docker/frontend/nginx.prod.conf</w:t>
            </w:r>
            <w:r>
              <w:rPr>
                <w:b/>
                <w:bCs/>
              </w:rPr>
              <w:t xml:space="preserve">)</w:t>
            </w:r>
          </w:p>
        </w:tc>
        <w:tc>
          <w:tcPr/>
          <w:p>
            <w:pPr>
              <w:pStyle w:val="Compact"/>
            </w:pPr>
            <w:r>
              <w:t xml:space="preserve">TLS-Terminierung auf Container-Port 8443 (Host 443); Container-Port 8080 (Host 80) liefert nur HTTP-301-Redirects auf HTTPS. Cert-Mount via</w:t>
            </w:r>
            <w:r>
              <w:t xml:space="preserve"> </w:t>
            </w:r>
            <w:r>
              <w:rPr>
                <w:rStyle w:val="VerbatimChar"/>
              </w:rPr>
              <w:t xml:space="preserve">${TLS_CERT_DIR}/tls.{crt,key}</w:t>
            </w:r>
            <w:r>
              <w:t xml:space="preserve">. Bestehende Security-Header (HSTS, CSP, …) bleiben aktiv.</w:t>
            </w:r>
          </w:p>
        </w:tc>
      </w:tr>
      <w:tr>
        <w:tc>
          <w:tcPr/>
          <w:p>
            <w:pPr>
              <w:pStyle w:val="Compact"/>
            </w:pPr>
            <w:r>
              <w:rPr>
                <w:b/>
                <w:bCs/>
              </w:rPr>
              <w:t xml:space="preserve">Keycloak</w:t>
            </w:r>
          </w:p>
        </w:tc>
        <w:tc>
          <w:tcPr/>
          <w:p>
            <w:pPr>
              <w:pStyle w:val="Compact"/>
            </w:pPr>
            <w:r>
              <w:rPr>
                <w:rStyle w:val="VerbatimChar"/>
              </w:rPr>
              <w:t xml:space="preserve">start --hostname=${KC_HOSTNAME} --proxy-headers=xforwarded --db=postgres --db-url-host=db --db-url-database=${KC_DB_NAME}</w:t>
            </w:r>
            <w:r>
              <w:t xml:space="preserve"> </w:t>
            </w:r>
            <w:r>
              <w:t xml:space="preserve">— Produktionsmodus mit eigener Postgres-DB statt H2; Bootstrap-Admin via</w:t>
            </w:r>
            <w:r>
              <w:t xml:space="preserve"> </w:t>
            </w:r>
            <w:r>
              <w:rPr>
                <w:rStyle w:val="VerbatimChar"/>
              </w:rPr>
              <w:t xml:space="preserve">KC_BOOTSTRAP_ADMIN_USERNAME/PASSWORD</w:t>
            </w:r>
            <w:r>
              <w:t xml:space="preserve">, keine Defaults.</w:t>
            </w:r>
          </w:p>
        </w:tc>
      </w:tr>
      <w:tr>
        <w:tc>
          <w:tcPr/>
          <w:p>
            <w:pPr>
              <w:pStyle w:val="Compact"/>
            </w:pPr>
            <w:r>
              <w:rPr>
                <w:b/>
                <w:bCs/>
              </w:rPr>
              <w:t xml:space="preserve">Postgres</w:t>
            </w:r>
          </w:p>
        </w:tc>
        <w:tc>
          <w:tcPr/>
          <w:p>
            <w:pPr>
              <w:pStyle w:val="Compact"/>
            </w:pPr>
            <w:r>
              <w:rPr>
                <w:rStyle w:val="VerbatimChar"/>
              </w:rPr>
              <w:t xml:space="preserve">${DB_PASSWORD:?…}</w:t>
            </w:r>
            <w:r>
              <w:t xml:space="preserve">-Syntax bricht den Start ab, wenn kein Passwort gesetzt ist. Init-Script</w:t>
            </w:r>
            <w:r>
              <w:t xml:space="preserve"> </w:t>
            </w:r>
            <w:r>
              <w:rPr>
                <w:rStyle w:val="VerbatimChar"/>
              </w:rPr>
              <w:t xml:space="preserve">docker/db/init/01-create-keycloak-db.sh</w:t>
            </w:r>
            <w:r>
              <w:t xml:space="preserve"> </w:t>
            </w:r>
            <w:r>
              <w:t xml:space="preserve">legt die Keycloak-DB + den dedizierten Keycloak-DB-User beim ersten Boot an. Kein Host-Port.</w:t>
            </w:r>
          </w:p>
        </w:tc>
      </w:tr>
      <w:tr>
        <w:tc>
          <w:tcPr/>
          <w:p>
            <w:pPr>
              <w:pStyle w:val="Compact"/>
            </w:pPr>
            <w:r>
              <w:rPr>
                <w:b/>
                <w:bCs/>
              </w:rPr>
              <w:t xml:space="preserve">Backend</w:t>
            </w:r>
          </w:p>
        </w:tc>
        <w:tc>
          <w:tcPr/>
          <w:p>
            <w:pPr>
              <w:pStyle w:val="Compact"/>
            </w:pPr>
            <w:r>
              <w:rPr>
                <w:rStyle w:val="VerbatimChar"/>
              </w:rPr>
              <w:t xml:space="preserve">OPENAI_API_KEY</w:t>
            </w:r>
            <w:r>
              <w:t xml:space="preserve">,</w:t>
            </w:r>
            <w:r>
              <w:t xml:space="preserve"> </w:t>
            </w:r>
            <w:r>
              <w:rPr>
                <w:rStyle w:val="VerbatimChar"/>
              </w:rPr>
              <w:t xml:space="preserve">DB_*</w:t>
            </w:r>
            <w:r>
              <w:t xml:space="preserve">,</w:t>
            </w:r>
            <w:r>
              <w:t xml:space="preserve"> </w:t>
            </w:r>
            <w:r>
              <w:rPr>
                <w:rStyle w:val="VerbatimChar"/>
              </w:rPr>
              <w:t xml:space="preserve">KEYCLOAK_ISSUER_URI</w:t>
            </w:r>
            <w:r>
              <w:t xml:space="preserve"> </w:t>
            </w:r>
            <w:r>
              <w:t xml:space="preserve">alle required (</w:t>
            </w:r>
            <w:r>
              <w:rPr>
                <w:rStyle w:val="VerbatimChar"/>
              </w:rPr>
              <w:t xml:space="preserve">${VAR:?…}</w:t>
            </w:r>
            <w:r>
              <w:t xml:space="preserve">); kein Host-Port — Zugriff nur über den nginx-Reverse-Proxy.</w:t>
            </w:r>
          </w:p>
        </w:tc>
      </w:tr>
      <w:tr>
        <w:tc>
          <w:tcPr/>
          <w:p>
            <w:pPr>
              <w:pStyle w:val="Compact"/>
            </w:pPr>
            <w:r>
              <w:rPr>
                <w:b/>
                <w:bCs/>
              </w:rPr>
              <w:t xml:space="preserve">Mailhog</w:t>
            </w:r>
          </w:p>
        </w:tc>
        <w:tc>
          <w:tcPr/>
          <w:p>
            <w:pPr>
              <w:pStyle w:val="Compact"/>
            </w:pPr>
            <w:r>
              <w:t xml:space="preserve">Entfernt (</w:t>
            </w:r>
            <w:r>
              <w:rPr>
                <w:rStyle w:val="VerbatimChar"/>
              </w:rPr>
              <w:t xml:space="preserve">!reset null</w:t>
            </w:r>
            <w:r>
              <w:t xml:space="preserve">) — Prod nutzt echtes SMTP (Sendgrid, SES, …) via</w:t>
            </w:r>
            <w:r>
              <w:t xml:space="preserve"> </w:t>
            </w:r>
            <w:r>
              <w:rPr>
                <w:rStyle w:val="VerbatimChar"/>
              </w:rPr>
              <w:t xml:space="preserve">KC_SMTP_*</w:t>
            </w:r>
            <w:r>
              <w:t xml:space="preserve">-Env-Vars.</w:t>
            </w:r>
          </w:p>
        </w:tc>
      </w:tr>
    </w:tbl>
    <w:p>
      <w:pPr>
        <w:pStyle w:val="BodyText"/>
      </w:pPr>
      <w:r>
        <w:t xml:space="preserve">Aktivierung:</w:t>
      </w:r>
      <w:r>
        <w:t xml:space="preserve"> </w:t>
      </w:r>
      <w:r>
        <w:rPr>
          <w:rStyle w:val="VerbatimChar"/>
        </w:rPr>
        <w:t xml:space="preserve">podman compose -f docker/compose.yml -f docker/compose.prod.yml up -d --build</w:t>
      </w:r>
      <w:r>
        <w:t xml:space="preserve">. Eine</w:t>
      </w:r>
      <w:r>
        <w:t xml:space="preserve"> </w:t>
      </w:r>
      <w:r>
        <w:rPr>
          <w:rStyle w:val="VerbatimChar"/>
        </w:rPr>
        <w:t xml:space="preserve">.env</w:t>
      </w:r>
      <w:r>
        <w:t xml:space="preserve">-Datei neben</w:t>
      </w:r>
      <w:r>
        <w:t xml:space="preserve"> </w:t>
      </w:r>
      <w:r>
        <w:rPr>
          <w:rStyle w:val="VerbatimChar"/>
        </w:rPr>
        <w:t xml:space="preserve">compose.yml</w:t>
      </w:r>
      <w:r>
        <w:t xml:space="preserve"> </w:t>
      </w:r>
      <w:r>
        <w:t xml:space="preserve">liefert die echten Werte; Vorlage in</w:t>
      </w:r>
      <w:r>
        <w:t xml:space="preserve"> </w:t>
      </w:r>
      <w:r>
        <w:rPr>
          <w:rStyle w:val="VerbatimChar"/>
        </w:rPr>
        <w:t xml:space="preserve">docker/.env.prod.example</w:t>
      </w:r>
      <w:r>
        <w:t xml:space="preserve">. Die Cert-Provisionierung (Let’s Encrypt o. ä.) liegt ausserhalb des Overlays — er erwartet nur, dass</w:t>
      </w:r>
      <w:r>
        <w:t xml:space="preserve"> </w:t>
      </w:r>
      <w:r>
        <w:rPr>
          <w:rStyle w:val="VerbatimChar"/>
        </w:rPr>
        <w:t xml:space="preserve">${TLS_CERT_DIR}</w:t>
      </w:r>
      <w:r>
        <w:t xml:space="preserve"> </w:t>
      </w:r>
      <w:r>
        <w:t xml:space="preserve">existiert und</w:t>
      </w:r>
      <w:r>
        <w:t xml:space="preserve"> </w:t>
      </w:r>
      <w:r>
        <w:rPr>
          <w:rStyle w:val="VerbatimChar"/>
        </w:rPr>
        <w:t xml:space="preserve">tls.crt</w:t>
      </w:r>
      <w:r>
        <w:t xml:space="preserve">/</w:t>
      </w:r>
      <w:r>
        <w:rPr>
          <w:rStyle w:val="VerbatimChar"/>
        </w:rPr>
        <w:t xml:space="preserve">tls.key</w:t>
      </w:r>
      <w:r>
        <w:t xml:space="preserve"> </w:t>
      </w:r>
      <w:r>
        <w:t xml:space="preserve">enthält. Verifiziert via</w:t>
      </w:r>
      <w:r>
        <w:t xml:space="preserve"> </w:t>
      </w:r>
      <w:r>
        <w:rPr>
          <w:rStyle w:val="VerbatimChar"/>
        </w:rPr>
        <w:t xml:space="preserve">podman compose … config</w:t>
      </w:r>
      <w:r>
        <w:t xml:space="preserve"> </w:t>
      </w:r>
      <w:r>
        <w:t xml:space="preserve">(Syntax-Check) und exemplarischen</w:t>
      </w:r>
      <w:r>
        <w:t xml:space="preserve"> </w:t>
      </w:r>
      <w:r>
        <w:rPr>
          <w:rStyle w:val="VerbatimChar"/>
        </w:rPr>
        <w:t xml:space="preserve">openssl s_client</w:t>
      </w:r>
      <w:r>
        <w:t xml:space="preserve">-/</w:t>
      </w:r>
      <w:r>
        <w:rPr>
          <w:rStyle w:val="VerbatimChar"/>
        </w:rPr>
        <w:t xml:space="preserve">curl -I</w:t>
      </w:r>
      <w:r>
        <w:t xml:space="preserve">-Smoke-Tests (siehe README).</w:t>
      </w:r>
    </w:p>
    <w:bookmarkEnd w:id="60"/>
    <w:bookmarkStart w:id="61" w:name="docker-compose-struktur"/>
    <w:p>
      <w:pPr>
        <w:pStyle w:val="Heading3"/>
      </w:pPr>
      <w:r>
        <w:t xml:space="preserve">7.2 Docker Compose Struktur</w:t>
      </w:r>
    </w:p>
    <w:p>
      <w:pPr>
        <w:pStyle w:val="FirstParagraph"/>
      </w:pPr>
      <w:r>
        <w:t xml:space="preserve">Schematischer Aufbau der</w:t>
      </w:r>
      <w:r>
        <w:t xml:space="preserve"> </w:t>
      </w:r>
      <w:r>
        <w:rPr>
          <w:rStyle w:val="VerbatimChar"/>
        </w:rPr>
        <w:t xml:space="preserve">docker/compose.yml</w:t>
      </w:r>
      <w:r>
        <w:t xml:space="preserv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../volume/postgres:/var/lib/postgresql/data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POSTGRES_DB=${DB_NAME:-tsas}</w:t>
      </w:r>
      <w:r>
        <w:br/>
      </w:r>
      <w:r>
        <w:rPr>
          <w:rStyle w:val="AttributeTok"/>
        </w:rPr>
        <w:t xml:space="preserve">      </w:t>
      </w:r>
      <w:r>
        <w:rPr>
          <w:rStyle w:val="KeywordTok"/>
        </w:rPr>
        <w:t xml:space="preserve">-</w:t>
      </w:r>
      <w:r>
        <w:rPr>
          <w:rStyle w:val="AttributeTok"/>
        </w:rPr>
        <w:t xml:space="preserve"> POSTGRES_USER=${DB_USERNAME:-tsas}</w:t>
      </w:r>
      <w:r>
        <w:br/>
      </w:r>
      <w:r>
        <w:rPr>
          <w:rStyle w:val="AttributeTok"/>
        </w:rPr>
        <w:t xml:space="preserve">      </w:t>
      </w:r>
      <w:r>
        <w:rPr>
          <w:rStyle w:val="KeywordTok"/>
        </w:rPr>
        <w:t xml:space="preserve">-</w:t>
      </w:r>
      <w:r>
        <w:rPr>
          <w:rStyle w:val="AttributeTok"/>
        </w:rPr>
        <w:t xml:space="preserve"> POSTGRES_PASSWORD=${DB_PASSWORD:-tsas}</w:t>
      </w:r>
      <w:r>
        <w:br/>
      </w:r>
      <w:r>
        <w:br/>
      </w:r>
      <w:r>
        <w:rPr>
          <w:rStyle w:val="AttributeTok"/>
        </w:rPr>
        <w:t xml:space="preserve">  </w:t>
      </w:r>
      <w:r>
        <w:rPr>
          <w:rStyle w:val="FunctionTok"/>
        </w:rPr>
        <w:t xml:space="preserve">keycloak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quay.io/keycloak/keycloak:26.0.7</w:t>
      </w:r>
      <w:r>
        <w:br/>
      </w:r>
      <w:r>
        <w:rPr>
          <w:rStyle w:val="AttributeTok"/>
        </w:rPr>
        <w:t xml:space="preserve">    </w:t>
      </w:r>
      <w:r>
        <w:rPr>
          <w:rStyle w:val="FunctionTok"/>
        </w:rPr>
        <w:t xml:space="preserve">command</w:t>
      </w:r>
      <w:r>
        <w:rPr>
          <w:rStyle w:val="KeywordTok"/>
        </w:rPr>
        <w:t xml:space="preserve">:</w:t>
      </w:r>
      <w:r>
        <w:rPr>
          <w:rStyle w:val="AttributeTok"/>
        </w:rPr>
        <w:t xml:space="preserve"> start-dev --import-realm</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"8443:8443"</w:t>
      </w:r>
      <w:r>
        <w:rPr>
          <w:rStyle w:val="CommentTok"/>
        </w:rPr>
        <w:t xml:space="preserve">   # HTTPS (Browser OAuth2)</w:t>
      </w:r>
      <w:r>
        <w:br/>
      </w:r>
      <w:r>
        <w:rPr>
          <w:rStyle w:val="AttributeTok"/>
        </w:rPr>
        <w:t xml:space="preserve">      </w:t>
      </w:r>
      <w:r>
        <w:rPr>
          <w:rStyle w:val="KeywordTok"/>
        </w:rPr>
        <w:t xml:space="preserve">-</w:t>
      </w:r>
      <w:r>
        <w:rPr>
          <w:rStyle w:val="AttributeTok"/>
        </w:rPr>
        <w:t xml:space="preserve"> </w:t>
      </w:r>
      <w:r>
        <w:rPr>
          <w:rStyle w:val="StringTok"/>
        </w:rPr>
        <w:t xml:space="preserve">"18080:8080"</w:t>
      </w:r>
      <w:r>
        <w:rPr>
          <w:rStyle w:val="CommentTok"/>
        </w:rPr>
        <w:t xml:space="preserve">  # HTTP (interner JWKS-Abruf durch Backend)</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db</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keycloak</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SPRING_DATASOURCE_URL=jdbc:postgresql://db:5432/tsas</w:t>
      </w:r>
      <w:r>
        <w:br/>
      </w:r>
      <w:r>
        <w:rPr>
          <w:rStyle w:val="AttributeTok"/>
        </w:rPr>
        <w:t xml:space="preserve">      </w:t>
      </w:r>
      <w:r>
        <w:rPr>
          <w:rStyle w:val="KeywordTok"/>
        </w:rPr>
        <w:t xml:space="preserve">-</w:t>
      </w:r>
      <w:r>
        <w:rPr>
          <w:rStyle w:val="AttributeTok"/>
        </w:rPr>
        <w:t xml:space="preserve"> KEYCLOAK_ISSUER_URI=https://keycloak:8443/realms/tsas</w:t>
      </w:r>
      <w:r>
        <w:br/>
      </w:r>
      <w:r>
        <w:rPr>
          <w:rStyle w:val="AttributeTok"/>
        </w:rPr>
        <w:t xml:space="preserve">      </w:t>
      </w:r>
      <w:r>
        <w:rPr>
          <w:rStyle w:val="KeywordTok"/>
        </w:rPr>
        <w:t xml:space="preserve">-</w:t>
      </w:r>
      <w:r>
        <w:rPr>
          <w:rStyle w:val="AttributeTok"/>
        </w:rPr>
        <w:t xml:space="preserve"> KEYCLOAK_JWK_SET_URI=http://keycloak:8080/realms/tsas/protocol/openid-connect/certs</w:t>
      </w:r>
      <w:r>
        <w:br/>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./frontend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p>
    <w:p>
      <w:r>
        <w:pict>
          <v:rect style="width:0;height:1.5pt" o:hralign="center" o:hrstd="t" o:hr="t"/>
        </w:pict>
      </w:r>
    </w:p>
    <w:bookmarkEnd w:id="61"/>
    <w:bookmarkEnd w:id="62"/>
    <w:bookmarkStart w:id="70" w:name="querschnittliche-konzepte"/>
    <w:p>
      <w:pPr>
        <w:pStyle w:val="Heading2"/>
      </w:pPr>
      <w:r>
        <w:t xml:space="preserve">8. Querschnittliche Konzepte</w:t>
      </w:r>
    </w:p>
    <w:bookmarkStart w:id="63" w:name="sicherheitskonzept"/>
    <w:p>
      <w:pPr>
        <w:pStyle w:val="Heading3"/>
      </w:pPr>
      <w:r>
        <w:t xml:space="preserve">8.1 Sicherheitskonzept</w:t>
      </w:r>
    </w:p>
    <w:p>
      <w:pPr>
        <w:pStyle w:val="FirstParagraph"/>
      </w:pPr>
      <w:r>
        <w:t xml:space="preserve">Alle API-Endpunkte (ausser Health-Check) werden durch OAuth2 Bearer Tokens geschützt. Das Frontend nutzt den Authorization Code Flow mit PKCE. Keycloak verwaltet Benutzer, Rollen und Sessions. In Version 1 erfolgt die Registrierung direkt in Keycloak, ab Version 2 zusätzlich über Google als federated Identity Provider.</w:t>
      </w:r>
    </w:p>
    <w:p>
      <w:pPr>
        <w:pStyle w:val="BodyText"/>
      </w:pPr>
      <w:r>
        <w:rPr>
          <w:b/>
          <w:bCs/>
        </w:rPr>
        <w:t xml:space="preserve">Test-Profil-Guard (TEN-57 / STRIDE E2).</w:t>
      </w:r>
      <w:r>
        <w:t xml:space="preserve"> </w:t>
      </w:r>
      <w:r>
        <w:t xml:space="preserve">Das</w:t>
      </w:r>
      <w:r>
        <w:t xml:space="preserve"> </w:t>
      </w:r>
      <w:r>
        <w:rPr>
          <w:rStyle w:val="VerbatimChar"/>
        </w:rPr>
        <w:t xml:space="preserve">test</w:t>
      </w:r>
      <w:r>
        <w:t xml:space="preserve">-Profil aktiviert einen</w:t>
      </w:r>
      <w:r>
        <w:t xml:space="preserve"> </w:t>
      </w:r>
      <w:r>
        <w:rPr>
          <w:rStyle w:val="VerbatimChar"/>
        </w:rPr>
        <w:t xml:space="preserve">permitAll</w:t>
      </w:r>
      <w:r>
        <w:t xml:space="preserve">-</w:t>
      </w:r>
      <w:r>
        <w:rPr>
          <w:rStyle w:val="VerbatimChar"/>
        </w:rPr>
        <w:t xml:space="preserve">SecurityFilterChain</w:t>
      </w:r>
      <w:r>
        <w:t xml:space="preserve"> </w:t>
      </w:r>
      <w:r>
        <w:t xml:space="preserve">für Integrationstests. Damit dieser niemals in einer produktiven Laufzeit auftaucht, lebt der zugehörige Bean</w:t>
      </w:r>
      <w:r>
        <w:t xml:space="preserve"> </w:t>
      </w:r>
      <w:r>
        <w:rPr>
          <w:rStyle w:val="VerbatimChar"/>
        </w:rPr>
        <w:t xml:space="preserve">TestProfileSecurityConfig</w:t>
      </w:r>
      <w:r>
        <w:t xml:space="preserve"> </w:t>
      </w:r>
      <w:r>
        <w:t xml:space="preserve">ausschliesslich in</w:t>
      </w:r>
      <w:r>
        <w:t xml:space="preserve"> </w:t>
      </w:r>
      <w:r>
        <w:rPr>
          <w:rStyle w:val="VerbatimChar"/>
        </w:rPr>
        <w:t xml:space="preserve">auth-module/src/testFixtures/</w:t>
      </w:r>
      <w:r>
        <w:t xml:space="preserve"> </w:t>
      </w:r>
      <w:r>
        <w:t xml:space="preserve">(wird nicht in das Boot-Jar gepackt, sondern via</w:t>
      </w:r>
      <w:r>
        <w:t xml:space="preserve"> </w:t>
      </w:r>
      <w:r>
        <w:rPr>
          <w:rStyle w:val="VerbatimChar"/>
        </w:rPr>
        <w:t xml:space="preserve">testImplementation(testFixtures(":auth-module"))</w:t>
      </w:r>
      <w:r>
        <w:t xml:space="preserve"> </w:t>
      </w:r>
      <w:r>
        <w:t xml:space="preserve">an Tests bereitgestellt). Zusätzlich greift</w:t>
      </w:r>
      <w:r>
        <w:t xml:space="preserve"> </w:t>
      </w:r>
      <w:r>
        <w:rPr>
          <w:rStyle w:val="VerbatimChar"/>
        </w:rPr>
        <w:t xml:space="preserve">TestProfileGuard</w:t>
      </w:r>
      <w:r>
        <w:t xml:space="preserve"> </w:t>
      </w:r>
      <w:r>
        <w:t xml:space="preserve">als</w:t>
      </w:r>
      <w:r>
        <w:t xml:space="preserve"> </w:t>
      </w:r>
      <w:r>
        <w:rPr>
          <w:rStyle w:val="VerbatimChar"/>
        </w:rPr>
        <w:t xml:space="preserve">EnvironmentPostProcessor</w:t>
      </w:r>
      <w:r>
        <w:t xml:space="preserve"> </w:t>
      </w:r>
      <w:r>
        <w:t xml:space="preserve">(registriert über</w:t>
      </w:r>
      <w:r>
        <w:t xml:space="preserve"> </w:t>
      </w:r>
      <w:r>
        <w:rPr>
          <w:rStyle w:val="VerbatimChar"/>
        </w:rPr>
        <w:t xml:space="preserve">META-INF/spring/org.springframework.boot.env.EnvironmentPostProcessor.imports</w:t>
      </w:r>
      <w:r>
        <w:t xml:space="preserve">) und bricht den Boot mit einer</w:t>
      </w:r>
      <w:r>
        <w:t xml:space="preserve"> </w:t>
      </w:r>
      <w:r>
        <w:rPr>
          <w:rStyle w:val="VerbatimChar"/>
        </w:rPr>
        <w:t xml:space="preserve">IllegalStateException</w:t>
      </w:r>
      <w:r>
        <w:t xml:space="preserve"> </w:t>
      </w:r>
      <w:r>
        <w:t xml:space="preserve">ab, sobald das</w:t>
      </w:r>
      <w:r>
        <w:t xml:space="preserve"> </w:t>
      </w:r>
      <w:r>
        <w:rPr>
          <w:rStyle w:val="VerbatimChar"/>
        </w:rPr>
        <w:t xml:space="preserve">test</w:t>
      </w:r>
      <w:r>
        <w:t xml:space="preserve">-Profil entweder (a) zusammen mit</w:t>
      </w:r>
      <w:r>
        <w:t xml:space="preserve"> </w:t>
      </w:r>
      <w:r>
        <w:rPr>
          <w:rStyle w:val="VerbatimChar"/>
        </w:rPr>
        <w:t xml:space="preserve">prod</w:t>
      </w:r>
      <w:r>
        <w:t xml:space="preserve">/</w:t>
      </w:r>
      <w:r>
        <w:rPr>
          <w:rStyle w:val="VerbatimChar"/>
        </w:rPr>
        <w:t xml:space="preserve">production</w:t>
      </w:r>
      <w:r>
        <w:t xml:space="preserve">/</w:t>
      </w:r>
      <w:r>
        <w:rPr>
          <w:rStyle w:val="VerbatimChar"/>
        </w:rPr>
        <w:t xml:space="preserve">docker</w:t>
      </w:r>
      <w:r>
        <w:t xml:space="preserve"> </w:t>
      </w:r>
      <w:r>
        <w:t xml:space="preserve">aktiv ist oder (b)</w:t>
      </w:r>
      <w:r>
        <w:t xml:space="preserve"> </w:t>
      </w:r>
      <w:r>
        <w:rPr>
          <w:rStyle w:val="VerbatimChar"/>
        </w:rPr>
        <w:t xml:space="preserve">spring.datasource.url</w:t>
      </w:r>
      <w:r>
        <w:t xml:space="preserve"> </w:t>
      </w:r>
      <w:r>
        <w:t xml:space="preserve">nicht auf eine In-Memory-H2-URL zeigt. Acht Unit-Tests decken alle erlaubten und verbotenen Kombinationen ab. Beim aktiven</w:t>
      </w:r>
      <w:r>
        <w:t xml:space="preserve"> </w:t>
      </w:r>
      <w:r>
        <w:rPr>
          <w:rStyle w:val="VerbatimChar"/>
        </w:rPr>
        <w:t xml:space="preserve">permitAll</w:t>
      </w:r>
      <w:r>
        <w:t xml:space="preserve">-Bean loggt eine</w:t>
      </w:r>
      <w:r>
        <w:t xml:space="preserve"> </w:t>
      </w:r>
      <w:r>
        <w:rPr>
          <w:rStyle w:val="VerbatimChar"/>
        </w:rPr>
        <w:t xml:space="preserve">@PostConstruct</w:t>
      </w:r>
      <w:r>
        <w:t xml:space="preserve">-Hook eine deutliche Warnung in den Startup-Output.</w:t>
      </w:r>
    </w:p>
    <w:p>
      <w:pPr>
        <w:pStyle w:val="BodyText"/>
      </w:pPr>
      <w:r>
        <w:rPr>
          <w:b/>
          <w:bCs/>
        </w:rPr>
        <w:t xml:space="preserve">JWT-Validierung (TEN-56 / STRIDE S1).</w:t>
      </w:r>
      <w:r>
        <w:t xml:space="preserve"> </w:t>
      </w:r>
      <w:r>
        <w:t xml:space="preserve">Der</w:t>
      </w:r>
      <w:r>
        <w:t xml:space="preserve"> </w:t>
      </w:r>
      <w:r>
        <w:rPr>
          <w:rStyle w:val="VerbatimChar"/>
        </w:rPr>
        <w:t xml:space="preserve">JwtDecoder</w:t>
      </w:r>
      <w:r>
        <w:t xml:space="preserve"> </w:t>
      </w:r>
      <w:r>
        <w:t xml:space="preserve">kombiniert über</w:t>
      </w:r>
      <w:r>
        <w:t xml:space="preserve"> </w:t>
      </w:r>
      <w:r>
        <w:rPr>
          <w:rStyle w:val="VerbatimChar"/>
        </w:rPr>
        <w:t xml:space="preserve">DelegatingOAuth2TokenValidator</w:t>
      </w:r>
      <w:r>
        <w:t xml:space="preserve"> </w:t>
      </w:r>
      <w:r>
        <w:t xml:space="preserve">drei Validatoren: (a)</w:t>
      </w:r>
      <w:r>
        <w:t xml:space="preserve"> </w:t>
      </w:r>
      <w:r>
        <w:rPr>
          <w:rStyle w:val="VerbatimChar"/>
        </w:rPr>
        <w:t xml:space="preserve">JwtValidators.createDefaultWithIssuer(issuerUri)</w:t>
      </w:r>
      <w:r>
        <w:t xml:space="preserve"> </w:t>
      </w:r>
      <w:r>
        <w:t xml:space="preserve">für</w:t>
      </w:r>
      <w:r>
        <w:t xml:space="preserve"> </w:t>
      </w:r>
      <w:r>
        <w:rPr>
          <w:rStyle w:val="VerbatimChar"/>
        </w:rPr>
        <w:t xml:space="preserve">iss</w:t>
      </w:r>
      <w:r>
        <w:t xml:space="preserve"> </w:t>
      </w:r>
      <w:r>
        <w:t xml:space="preserve">und Default-Claims (Ablauf etc.); (b) JWK-Set-basierte Signaturprüfung über den Nimbus-Decoder; (c)</w:t>
      </w:r>
      <w:r>
        <w:t xml:space="preserve"> </w:t>
      </w:r>
      <w:r>
        <w:rPr>
          <w:rStyle w:val="VerbatimChar"/>
        </w:rPr>
        <w:t xml:space="preserve">JwtClaimValidator("aud", a -&gt; a != null &amp;&amp; a.contains("tsas-frontend"))</w:t>
      </w:r>
      <w:r>
        <w:t xml:space="preserve"> </w:t>
      </w:r>
      <w:r>
        <w:t xml:space="preserve">für die Audience. Ohne (c) würde jedes Token aus der</w:t>
      </w:r>
      <w:r>
        <w:t xml:space="preserve"> </w:t>
      </w:r>
      <w:r>
        <w:rPr>
          <w:rStyle w:val="VerbatimChar"/>
        </w:rPr>
        <w:t xml:space="preserve">tsas</w:t>
      </w:r>
      <w:r>
        <w:t xml:space="preserve">-Realm akzeptiert — auch eines für einen anderen Client mit höheren Privilegien. Die erwartete Audience ist über</w:t>
      </w:r>
      <w:r>
        <w:t xml:space="preserve"> </w:t>
      </w:r>
      <w:r>
        <w:rPr>
          <w:rStyle w:val="VerbatimChar"/>
        </w:rPr>
        <w:t xml:space="preserve">tsas.security.expected-audience</w:t>
      </w:r>
      <w:r>
        <w:t xml:space="preserve"> </w:t>
      </w:r>
      <w:r>
        <w:t xml:space="preserve">(Default</w:t>
      </w:r>
      <w:r>
        <w:t xml:space="preserve"> </w:t>
      </w:r>
      <w:r>
        <w:rPr>
          <w:rStyle w:val="VerbatimChar"/>
        </w:rPr>
        <w:t xml:space="preserve">tsas-frontend</w:t>
      </w:r>
      <w:r>
        <w:t xml:space="preserve">) konfigurierbar; Keycloak liefert das</w:t>
      </w:r>
      <w:r>
        <w:t xml:space="preserve"> </w:t>
      </w:r>
      <w:r>
        <w:rPr>
          <w:rStyle w:val="VerbatimChar"/>
        </w:rPr>
        <w:t xml:space="preserve">aud</w:t>
      </w:r>
      <w:r>
        <w:t xml:space="preserve">-Claim per</w:t>
      </w:r>
      <w:r>
        <w:t xml:space="preserve"> </w:t>
      </w:r>
      <w:r>
        <w:rPr>
          <w:rStyle w:val="VerbatimChar"/>
        </w:rPr>
        <w:t xml:space="preserve">oidc-audience-mapper</w:t>
      </w:r>
      <w:r>
        <w:t xml:space="preserve"> </w:t>
      </w:r>
      <w:r>
        <w:t xml:space="preserve">auf dem</w:t>
      </w:r>
      <w:r>
        <w:t xml:space="preserve"> </w:t>
      </w:r>
      <w:r>
        <w:rPr>
          <w:rStyle w:val="VerbatimChar"/>
        </w:rPr>
        <w:t xml:space="preserve">tsas-frontend</w:t>
      </w:r>
      <w:r>
        <w:t xml:space="preserve">-Client (siehe</w:t>
      </w:r>
      <w:r>
        <w:t xml:space="preserve"> </w:t>
      </w:r>
      <w:r>
        <w:rPr>
          <w:rStyle w:val="VerbatimChar"/>
        </w:rPr>
        <w:t xml:space="preserve">docker/keycloak/realm-export.json</w:t>
      </w:r>
      <w:r>
        <w:t xml:space="preserve">).</w:t>
      </w:r>
    </w:p>
    <w:p>
      <w:pPr>
        <w:pStyle w:val="BodyText"/>
      </w:pPr>
      <w:r>
        <w:rPr>
          <w:b/>
          <w:bCs/>
        </w:rPr>
        <w:t xml:space="preserve">RBAC im Frontend (TEN-65).</w:t>
      </w:r>
      <w:r>
        <w:t xml:space="preserve"> </w:t>
      </w:r>
      <w:r>
        <w:t xml:space="preserve">Das Backend setzt seit TEN-55 die Realm-Rollen</w:t>
      </w:r>
      <w:r>
        <w:t xml:space="preserve"> </w:t>
      </w:r>
      <w:r>
        <w:rPr>
          <w:rStyle w:val="VerbatimChar"/>
        </w:rPr>
        <w:t xml:space="preserve">COACH</w:t>
      </w:r>
      <w:r>
        <w:t xml:space="preserve"> </w:t>
      </w:r>
      <w:r>
        <w:t xml:space="preserve">und</w:t>
      </w:r>
      <w:r>
        <w:t xml:space="preserve"> </w:t>
      </w:r>
      <w:r>
        <w:rPr>
          <w:rStyle w:val="VerbatimChar"/>
        </w:rPr>
        <w:t xml:space="preserve">ADMIN</w:t>
      </w:r>
      <w:r>
        <w:t xml:space="preserve"> </w:t>
      </w:r>
      <w:r>
        <w:t xml:space="preserve">durch und reicht den JWT-</w:t>
      </w:r>
      <w:r>
        <w:rPr>
          <w:rStyle w:val="VerbatimChar"/>
        </w:rPr>
        <w:t xml:space="preserve">sub</w:t>
      </w:r>
      <w:r>
        <w:t xml:space="preserve"> </w:t>
      </w:r>
      <w:r>
        <w:t xml:space="preserve">als</w:t>
      </w:r>
      <w:r>
        <w:t xml:space="preserve"> </w:t>
      </w:r>
      <w:r>
        <w:rPr>
          <w:rStyle w:val="VerbatimChar"/>
        </w:rPr>
        <w:t xml:space="preserve">owner_id</w:t>
      </w:r>
      <w:r>
        <w:t xml:space="preserve"> </w:t>
      </w:r>
      <w:r>
        <w:t xml:space="preserve">in die Persistenz. Der</w:t>
      </w:r>
      <w:r>
        <w:t xml:space="preserve"> </w:t>
      </w:r>
      <w:r>
        <w:rPr>
          <w:rStyle w:val="VerbatimChar"/>
        </w:rPr>
        <w:t xml:space="preserve">AuthService</w:t>
      </w:r>
      <w:r>
        <w:t xml:space="preserve"> </w:t>
      </w:r>
      <w:r>
        <w:t xml:space="preserve">im Frontend (</w:t>
      </w:r>
      <w:r>
        <w:rPr>
          <w:rStyle w:val="VerbatimChar"/>
        </w:rPr>
        <w:t xml:space="preserve">frontend/src/app/core/auth/auth.service.ts</w:t>
      </w:r>
      <w:r>
        <w:t xml:space="preserve">) parst das Access-Token und exponiert</w:t>
      </w:r>
      <w:r>
        <w:t xml:space="preserve"> </w:t>
      </w:r>
      <w:r>
        <w:rPr>
          <w:rStyle w:val="VerbatimChar"/>
        </w:rPr>
        <w:t xml:space="preserve">roles</w:t>
      </w:r>
      <w:r>
        <w:t xml:space="preserve">,</w:t>
      </w:r>
      <w:r>
        <w:t xml:space="preserve"> </w:t>
      </w:r>
      <w:r>
        <w:rPr>
          <w:rStyle w:val="VerbatimChar"/>
        </w:rPr>
        <w:t xml:space="preserve">isAdmin</w:t>
      </w:r>
      <w:r>
        <w:t xml:space="preserve"> </w:t>
      </w:r>
      <w:r>
        <w:t xml:space="preserve">und</w:t>
      </w:r>
      <w:r>
        <w:t xml:space="preserve"> </w:t>
      </w:r>
      <w:r>
        <w:rPr>
          <w:rStyle w:val="VerbatimChar"/>
        </w:rPr>
        <w:t xml:space="preserve">userId</w:t>
      </w:r>
      <w:r>
        <w:t xml:space="preserve"> </w:t>
      </w:r>
      <w:r>
        <w:t xml:space="preserve">als</w:t>
      </w:r>
      <w:r>
        <w:t xml:space="preserve"> </w:t>
      </w:r>
      <w:r>
        <w:rPr>
          <w:rStyle w:val="VerbatimChar"/>
        </w:rPr>
        <w:t xml:space="preserve">computed</w:t>
      </w:r>
      <w:r>
        <w:t xml:space="preserve"> </w:t>
      </w:r>
      <w:r>
        <w:t xml:space="preserve">Signals. Davon abgeleitet:</w:t>
      </w:r>
    </w:p>
    <w:p>
      <w:pPr>
        <w:pStyle w:val="Compact"/>
        <w:numPr>
          <w:ilvl w:val="0"/>
          <w:numId w:val="1008"/>
        </w:numPr>
      </w:pPr>
      <w:r>
        <w:t xml:space="preserve">Die Toolbar zeigt ein rotes</w:t>
      </w:r>
      <w:r>
        <w:t xml:space="preserve"> </w:t>
      </w:r>
      <w:r>
        <w:rPr>
          <w:rStyle w:val="VerbatimChar"/>
        </w:rPr>
        <w:t xml:space="preserve">ADMIN</w:t>
      </w:r>
      <w:r>
        <w:t xml:space="preserve">-Chip, sobald der eingeloggte Nutzer die Rolle hat — sichtbarer Hinweis auf die globale Sicht.</w:t>
      </w:r>
    </w:p>
    <w:p>
      <w:pPr>
        <w:pStyle w:val="Compact"/>
        <w:numPr>
          <w:ilvl w:val="0"/>
          <w:numId w:val="1008"/>
        </w:numPr>
      </w:pPr>
      <w:r>
        <w:t xml:space="preserve">Die Spieler-Liste enthält für Admins einen Scope-Toggle „Meine / Alle Owner” (</w:t>
      </w:r>
      <w:r>
        <w:rPr>
          <w:rStyle w:val="VerbatimChar"/>
        </w:rPr>
        <w:t xml:space="preserve">mat-button-toggle-group</w:t>
      </w:r>
      <w:r>
        <w:t xml:space="preserve">, Default</w:t>
      </w:r>
      <w:r>
        <w:t xml:space="preserve"> </w:t>
      </w:r>
      <w:r>
        <w:rPr>
          <w:rStyle w:val="VerbatimChar"/>
        </w:rPr>
        <w:t xml:space="preserve">Meine</w:t>
      </w:r>
      <w:r>
        <w:t xml:space="preserve">). Coaches sehen den Toggle nicht; sie bekommen vom Backend ohnehin nur ihre eigenen Daten. Admins filtern serverseitig nicht (Backend liefert ihnen alles), sondern client-seitig auf</w:t>
      </w:r>
      <w:r>
        <w:t xml:space="preserve"> </w:t>
      </w:r>
      <w:r>
        <w:rPr>
          <w:rStyle w:val="VerbatimChar"/>
        </w:rPr>
        <w:t xml:space="preserve">ownerId === currentUser.userId</w:t>
      </w:r>
      <w:r>
        <w:t xml:space="preserve">. Für die Filter-Logik enthalten</w:t>
      </w:r>
      <w:r>
        <w:t xml:space="preserve"> </w:t>
      </w:r>
      <w:r>
        <w:rPr>
          <w:rStyle w:val="VerbatimChar"/>
        </w:rPr>
        <w:t xml:space="preserve">PlayerResponse</w:t>
      </w:r>
      <w:r>
        <w:t xml:space="preserve"> </w:t>
      </w:r>
      <w:r>
        <w:t xml:space="preserve">und</w:t>
      </w:r>
      <w:r>
        <w:t xml:space="preserve"> </w:t>
      </w:r>
      <w:r>
        <w:rPr>
          <w:rStyle w:val="VerbatimChar"/>
        </w:rPr>
        <w:t xml:space="preserve">MatchResponse</w:t>
      </w:r>
      <w:r>
        <w:t xml:space="preserve"> </w:t>
      </w:r>
      <w:r>
        <w:t xml:space="preserve">jetzt das Feld</w:t>
      </w:r>
      <w:r>
        <w:t xml:space="preserve"> </w:t>
      </w:r>
      <w:r>
        <w:rPr>
          <w:rStyle w:val="VerbatimChar"/>
        </w:rPr>
        <w:t xml:space="preserve">ownerId</w:t>
      </w:r>
      <w:r>
        <w:t xml:space="preserve">.</w:t>
      </w:r>
    </w:p>
    <w:p>
      <w:pPr>
        <w:pStyle w:val="Compact"/>
        <w:numPr>
          <w:ilvl w:val="0"/>
          <w:numId w:val="1008"/>
        </w:numPr>
      </w:pPr>
      <w:r>
        <w:t xml:space="preserve">Rollen-Verwaltung selbst bleibt in der Keycloak-Admin-Konsole (</w:t>
      </w:r>
      <w:r>
        <w:rPr>
          <w:rStyle w:val="VerbatimChar"/>
        </w:rPr>
        <w:t xml:space="preserve">https://localhost:8443/admin</w:t>
      </w:r>
      <w:r>
        <w:t xml:space="preserve">); eine dedizierte UI im Frontend ist Out-of-Scope für V1.</w:t>
      </w:r>
    </w:p>
    <w:bookmarkEnd w:id="63"/>
    <w:bookmarkStart w:id="64" w:name="persistenz"/>
    <w:p>
      <w:pPr>
        <w:pStyle w:val="Heading3"/>
      </w:pPr>
      <w:r>
        <w:t xml:space="preserve">8.2 Persistenz</w:t>
      </w:r>
    </w:p>
    <w:p>
      <w:pPr>
        <w:pStyle w:val="FirstParagraph"/>
      </w:pPr>
      <w:r>
        <w:t xml:space="preserve">Die Datenpersistenz erfolgt über Spring Data JPA / Hibernate mit PostgreSQL. Jedes fachliche Modul besitzt eigene Repository-Interfaces. Das Datenbankschema wird via Flyway-Migrationen verwaltet.</w:t>
      </w:r>
    </w:p>
    <w:p>
      <w:pPr>
        <w:pStyle w:val="BodyText"/>
      </w:pPr>
      <w:r>
        <w:rPr>
          <w:b/>
          <w:bCs/>
        </w:rPr>
        <w:t xml:space="preserve">Flyway-Konfiguration:</w:t>
      </w:r>
    </w:p>
    <w:p>
      <w:pPr>
        <w:pStyle w:val="Compact"/>
        <w:numPr>
          <w:ilvl w:val="0"/>
          <w:numId w:val="1009"/>
        </w:numPr>
      </w:pPr>
      <w:r>
        <w:t xml:space="preserve">Die Flyway-Dependency (</w:t>
      </w:r>
      <w:r>
        <w:rPr>
          <w:rStyle w:val="VerbatimChar"/>
        </w:rPr>
        <w:t xml:space="preserve">flyway-core</w:t>
      </w:r>
      <w:r>
        <w:t xml:space="preserve">,</w:t>
      </w:r>
      <w:r>
        <w:t xml:space="preserve"> </w:t>
      </w:r>
      <w:r>
        <w:rPr>
          <w:rStyle w:val="VerbatimChar"/>
        </w:rPr>
        <w:t xml:space="preserve">flyway-database-postgresql</w:t>
      </w:r>
      <w:r>
        <w:t xml:space="preserve">) ist im</w:t>
      </w:r>
      <w:r>
        <w:t xml:space="preserve"> </w:t>
      </w:r>
      <w:r>
        <w:rPr>
          <w:rStyle w:val="VerbatimChar"/>
        </w:rPr>
        <w:t xml:space="preserve">app</w:t>
      </w:r>
      <w:r>
        <w:t xml:space="preserve">-Modul deklariert – dem natürlichen Aggregator aller fachlichen Module.</w:t>
      </w:r>
    </w:p>
    <w:p>
      <w:pPr>
        <w:pStyle w:val="Compact"/>
        <w:numPr>
          <w:ilvl w:val="0"/>
          <w:numId w:val="1009"/>
        </w:numPr>
      </w:pPr>
      <w:r>
        <w:t xml:space="preserve">Migrationsskripte liegen unter</w:t>
      </w:r>
      <w:r>
        <w:t xml:space="preserve"> </w:t>
      </w:r>
      <w:r>
        <w:rPr>
          <w:rStyle w:val="VerbatimChar"/>
        </w:rPr>
        <w:t xml:space="preserve">backend/app/src/main/resources/db/migration/</w:t>
      </w:r>
      <w:r>
        <w:t xml:space="preserve"> </w:t>
      </w:r>
      <w:r>
        <w:t xml:space="preserve">und folgen dem Namensschema</w:t>
      </w:r>
      <w:r>
        <w:t xml:space="preserve"> </w:t>
      </w:r>
      <w:r>
        <w:rPr>
          <w:rStyle w:val="VerbatimChar"/>
        </w:rPr>
        <w:t xml:space="preserve">V{n}__{beschreibung}.sql</w:t>
      </w:r>
      <w:r>
        <w:t xml:space="preserve">.</w:t>
      </w:r>
    </w:p>
    <w:p>
      <w:pPr>
        <w:pStyle w:val="Compact"/>
        <w:numPr>
          <w:ilvl w:val="0"/>
          <w:numId w:val="1009"/>
        </w:numPr>
      </w:pPr>
      <w:r>
        <w:rPr>
          <w:rStyle w:val="VerbatimChar"/>
        </w:rPr>
        <w:t xml:space="preserve">V1__baseline.sql</w:t>
      </w:r>
      <w:r>
        <w:t xml:space="preserve"> </w:t>
      </w:r>
      <w:r>
        <w:t xml:space="preserve">enthält das initiale Schema aller Tabellen (</w:t>
      </w:r>
      <w:r>
        <w:rPr>
          <w:rStyle w:val="VerbatimChar"/>
        </w:rPr>
        <w:t xml:space="preserve">players</w:t>
      </w:r>
      <w:r>
        <w:t xml:space="preserve">,</w:t>
      </w:r>
      <w:r>
        <w:t xml:space="preserve"> </w:t>
      </w:r>
      <w:r>
        <w:rPr>
          <w:rStyle w:val="VerbatimChar"/>
        </w:rPr>
        <w:t xml:space="preserve">matches</w:t>
      </w:r>
      <w:r>
        <w:t xml:space="preserve">,</w:t>
      </w:r>
      <w:r>
        <w:t xml:space="preserve"> </w:t>
      </w:r>
      <w:r>
        <w:rPr>
          <w:rStyle w:val="VerbatimChar"/>
        </w:rPr>
        <w:t xml:space="preserve">match_scores</w:t>
      </w:r>
      <w:r>
        <w:t xml:space="preserve">), abgeleitet aus den bestehenden JPA-Entitäten.</w:t>
      </w:r>
    </w:p>
    <w:p>
      <w:pPr>
        <w:pStyle w:val="Compact"/>
        <w:numPr>
          <w:ilvl w:val="0"/>
          <w:numId w:val="1009"/>
        </w:numPr>
      </w:pPr>
      <w:r>
        <w:t xml:space="preserve">Hibernate</w:t>
      </w:r>
      <w:r>
        <w:t xml:space="preserve"> </w:t>
      </w:r>
      <w:r>
        <w:rPr>
          <w:rStyle w:val="VerbatimChar"/>
        </w:rPr>
        <w:t xml:space="preserve">ddl-auto</w:t>
      </w:r>
      <w:r>
        <w:t xml:space="preserve"> </w:t>
      </w:r>
      <w:r>
        <w:t xml:space="preserve">ist auf</w:t>
      </w:r>
      <w:r>
        <w:t xml:space="preserve"> </w:t>
      </w:r>
      <w:r>
        <w:rPr>
          <w:rStyle w:val="VerbatimChar"/>
        </w:rPr>
        <w:t xml:space="preserve">validate</w:t>
      </w:r>
      <w:r>
        <w:t xml:space="preserve"> </w:t>
      </w:r>
      <w:r>
        <w:t xml:space="preserve">(PostgreSQL) bzw.</w:t>
      </w:r>
      <w:r>
        <w:t xml:space="preserve"> </w:t>
      </w:r>
      <w:r>
        <w:rPr>
          <w:rStyle w:val="VerbatimChar"/>
        </w:rPr>
        <w:t xml:space="preserve">none</w:t>
      </w:r>
      <w:r>
        <w:t xml:space="preserve"> </w:t>
      </w:r>
      <w:r>
        <w:t xml:space="preserve">(H2/lokal) gesetzt – Flyway ist die einzige Quelle für Schema-Änderungen.</w:t>
      </w:r>
    </w:p>
    <w:p>
      <w:pPr>
        <w:pStyle w:val="Compact"/>
        <w:numPr>
          <w:ilvl w:val="0"/>
          <w:numId w:val="1009"/>
        </w:numPr>
      </w:pPr>
      <w:r>
        <w:t xml:space="preserve">Die Migrationsskripte verwenden ausschliesslich ANSI-SQL, das mit PostgreSQL und H2 kompatibel ist (kein datenbankspezifischer SQL-Dialekt), damit auch das lokale H2-Profil Flyway-gesteuert ist.</w:t>
      </w:r>
    </w:p>
    <w:bookmarkEnd w:id="64"/>
    <w:bookmarkStart w:id="65" w:name="fehlerbehandlung"/>
    <w:p>
      <w:pPr>
        <w:pStyle w:val="Heading3"/>
      </w:pPr>
      <w:r>
        <w:t xml:space="preserve">8.3 Fehlerbehandlung</w:t>
      </w:r>
    </w:p>
    <w:p>
      <w:pPr>
        <w:pStyle w:val="FirstParagraph"/>
      </w:pPr>
      <w:r>
        <w:t xml:space="preserve">Die Fehlerbehandlung erfolgt deklarativ über</w:t>
      </w:r>
      <w:r>
        <w:t xml:space="preserve"> </w:t>
      </w:r>
      <w:r>
        <w:rPr>
          <w:rStyle w:val="VerbatimChar"/>
        </w:rPr>
        <w:t xml:space="preserve">@RestControllerAdvice</w:t>
      </w:r>
      <w:r>
        <w:t xml:space="preserve">. Querschnittliche Fälle liegen zentral im</w:t>
      </w:r>
      <w:r>
        <w:t xml:space="preserve"> </w:t>
      </w:r>
      <w:r>
        <w:rPr>
          <w:rStyle w:val="VerbatimChar"/>
        </w:rPr>
        <w:t xml:space="preserve">common-module</w:t>
      </w:r>
      <w:r>
        <w:t xml:space="preserve"> </w:t>
      </w:r>
      <w:r>
        <w:t xml:space="preserve">(</w:t>
      </w:r>
      <w:r>
        <w:rPr>
          <w:rStyle w:val="VerbatimChar"/>
        </w:rPr>
        <w:t xml:space="preserve">CommonExceptionHandler</w:t>
      </w:r>
      <w:r>
        <w:t xml:space="preserve">,</w:t>
      </w:r>
      <w:r>
        <w:t xml:space="preserve"> </w:t>
      </w:r>
      <w:r>
        <w:rPr>
          <w:rStyle w:val="VerbatimChar"/>
        </w:rPr>
        <w:t xml:space="preserve">@Order(LOWEST_PRECEDENCE)</w:t>
      </w:r>
      <w:r>
        <w:t xml:space="preserve">): fachliche Zustandskonflikte (Basisklasse</w:t>
      </w:r>
      <w:r>
        <w:t xml:space="preserve"> </w:t>
      </w:r>
      <w:r>
        <w:rPr>
          <w:rStyle w:val="VerbatimChar"/>
        </w:rPr>
        <w:t xml:space="preserve">ConflictException</w:t>
      </w:r>
      <w:r>
        <w:t xml:space="preserve">) → HTTP 409, Bean-Validation-Fehler (</w:t>
      </w:r>
      <w:r>
        <w:rPr>
          <w:rStyle w:val="VerbatimChar"/>
        </w:rPr>
        <w:t xml:space="preserve">MethodArgumentNotValidException</w:t>
      </w:r>
      <w:r>
        <w:t xml:space="preserve">) → HTTP 400 mit Feld-Details, ungültige Argumente (z. B. unbekannter Enum-Wert) → HTTP 400. Modulspezifische Domain-Exceptions werden in den jeweiligen Advices abgebildet:</w:t>
      </w:r>
      <w:r>
        <w:t xml:space="preserve"> </w:t>
      </w:r>
      <w:r>
        <w:rPr>
          <w:rStyle w:val="VerbatimChar"/>
        </w:rPr>
        <w:t xml:space="preserve">GlobalExceptionHandler</w:t>
      </w:r>
      <w:r>
        <w:t xml:space="preserve"> </w:t>
      </w:r>
      <w:r>
        <w:t xml:space="preserve">(Player/Match „nicht gefunden” → 404) und</w:t>
      </w:r>
      <w:r>
        <w:t xml:space="preserve"> </w:t>
      </w:r>
      <w:r>
        <w:rPr>
          <w:rStyle w:val="VerbatimChar"/>
        </w:rPr>
        <w:t xml:space="preserve">AiExceptionHandler</w:t>
      </w:r>
      <w:r>
        <w:t xml:space="preserve"> </w:t>
      </w:r>
      <w:r>
        <w:t xml:space="preserve">(</w:t>
      </w:r>
      <w:r>
        <w:rPr>
          <w:rStyle w:val="VerbatimChar"/>
        </w:rPr>
        <w:t xml:space="preserve">InsufficientMatchDataException</w:t>
      </w:r>
      <w:r>
        <w:t xml:space="preserve"> </w:t>
      </w:r>
      <w:r>
        <w:t xml:space="preserve">→ 422,</w:t>
      </w:r>
      <w:r>
        <w:t xml:space="preserve"> </w:t>
      </w:r>
      <w:r>
        <w:rPr>
          <w:rStyle w:val="VerbatimChar"/>
        </w:rPr>
        <w:t xml:space="preserve">AnalysisGenerationException</w:t>
      </w:r>
      <w:r>
        <w:t xml:space="preserve"> </w:t>
      </w:r>
      <w:r>
        <w:t xml:space="preserve">→ 502). Technische Fehler ergeben HTTP 5xx.</w:t>
      </w:r>
    </w:p>
    <w:p>
      <w:pPr>
        <w:pStyle w:val="BodyText"/>
      </w:pPr>
      <w:r>
        <w:rPr>
          <w:b/>
          <w:bCs/>
        </w:rPr>
        <w:t xml:space="preserve">Catch-all + Sanitization (TEN-61 / STRIDE I5+I6).</w:t>
      </w:r>
      <w:r>
        <w:t xml:space="preserve"> </w:t>
      </w:r>
      <w:r>
        <w:t xml:space="preserve">Der</w:t>
      </w:r>
      <w:r>
        <w:t xml:space="preserve"> </w:t>
      </w:r>
      <w:r>
        <w:rPr>
          <w:rStyle w:val="VerbatimChar"/>
        </w:rPr>
        <w:t xml:space="preserve">CommonExceptionHandler</w:t>
      </w:r>
      <w:r>
        <w:t xml:space="preserve"> </w:t>
      </w:r>
      <w:r>
        <w:t xml:space="preserve">fängt zusätzlich vier breite Klassen ab und sorgt dafür, dass keine internen Details (Klassenpfade, SQL-Schnipsel, Stack-Traces) in die Antwort lecken: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Exception</w:t>
            </w:r>
          </w:p>
        </w:tc>
        <w:tc>
          <w:tcPr/>
          <w:p>
            <w:pPr>
              <w:pStyle w:val="Compact"/>
            </w:pPr>
            <w:r>
              <w:t xml:space="preserve">Status</w:t>
            </w:r>
          </w:p>
        </w:tc>
        <w:tc>
          <w:tcPr/>
          <w:p>
            <w:pPr>
              <w:pStyle w:val="Compact"/>
            </w:pPr>
            <w:r>
              <w:t xml:space="preserve">Detail in der Response</w:t>
            </w:r>
          </w:p>
        </w:tc>
      </w:tr>
      <w:tr>
        <w:tc>
          <w:tcPr/>
          <w:p>
            <w:pPr>
              <w:pStyle w:val="Compact"/>
            </w:pPr>
            <w:r>
              <w:rPr>
                <w:rStyle w:val="VerbatimChar"/>
              </w:rPr>
              <w:t xml:space="preserve">ResponseStatusException</w:t>
            </w:r>
          </w:p>
        </w:tc>
        <w:tc>
          <w:tcPr/>
          <w:p>
            <w:pPr>
              <w:pStyle w:val="Compact"/>
            </w:pPr>
            <w:r>
              <w:t xml:space="preserve">aus der Exception</w:t>
            </w:r>
          </w:p>
        </w:tc>
        <w:tc>
          <w:tcPr/>
          <w:p>
            <w:pPr>
              <w:pStyle w:val="Compact"/>
            </w:pPr>
            <w:r>
              <w:t xml:space="preserve">Reason (falls gesetzt) oder Standard-Phrase</w:t>
            </w:r>
          </w:p>
        </w:tc>
      </w:tr>
      <w:tr>
        <w:tc>
          <w:tcPr/>
          <w:p>
            <w:pPr>
              <w:pStyle w:val="Compact"/>
            </w:pPr>
            <w:r>
              <w:rPr>
                <w:rStyle w:val="VerbatimChar"/>
              </w:rPr>
              <w:t xml:space="preserve">DataIntegrityViolationException</w:t>
            </w:r>
          </w:p>
        </w:tc>
        <w:tc>
          <w:tcPr/>
          <w:p>
            <w:pPr>
              <w:pStyle w:val="Compact"/>
            </w:pPr>
            <w:r>
              <w:t xml:space="preserve">409</w:t>
            </w:r>
          </w:p>
        </w:tc>
        <w:tc>
          <w:tcPr/>
          <w:p>
            <w:pPr>
              <w:pStyle w:val="Compact"/>
            </w:pPr>
            <w:r>
              <w:t xml:space="preserve">Generisch („Datenkonflikt: eine Datenbank-Constraint wurde verletzt …“); Original-SQL/Schema wird intern via WARN geloggt</w:t>
            </w:r>
          </w:p>
        </w:tc>
      </w:tr>
      <w:tr>
        <w:tc>
          <w:tcPr/>
          <w:p>
            <w:pPr>
              <w:pStyle w:val="Compact"/>
            </w:pPr>
            <w:r>
              <w:rPr>
                <w:rStyle w:val="VerbatimChar"/>
              </w:rPr>
              <w:t xml:space="preserve">AccessDeniedException</w:t>
            </w:r>
          </w:p>
        </w:tc>
        <w:tc>
          <w:tcPr/>
          <w:p>
            <w:pPr>
              <w:pStyle w:val="Compact"/>
            </w:pPr>
            <w:r>
              <w:t xml:space="preserve">403</w:t>
            </w:r>
          </w:p>
        </w:tc>
        <w:tc>
          <w:tcPr/>
          <w:p>
            <w:pPr>
              <w:pStyle w:val="Compact"/>
            </w:pPr>
            <w:r>
              <w:t xml:space="preserve">„Zugriff verweigert.” (Original-Message nicht durchgereicht)</w:t>
            </w:r>
          </w:p>
        </w:tc>
      </w:tr>
      <w:tr>
        <w:tc>
          <w:tcPr/>
          <w:p>
            <w:pPr>
              <w:pStyle w:val="Compact"/>
            </w:pPr>
            <w:r>
              <w:rPr>
                <w:rStyle w:val="VerbatimChar"/>
              </w:rPr>
              <w:t xml:space="preserve">Exception</w:t>
            </w:r>
            <w:r>
              <w:t xml:space="preserve"> </w:t>
            </w:r>
            <w:r>
              <w:t xml:space="preserve">(Catch-all)</w:t>
            </w:r>
          </w:p>
        </w:tc>
        <w:tc>
          <w:tcPr/>
          <w:p>
            <w:pPr>
              <w:pStyle w:val="Compact"/>
            </w:pPr>
            <w:r>
              <w:t xml:space="preserve">500</w:t>
            </w:r>
          </w:p>
        </w:tc>
        <w:tc>
          <w:tcPr/>
          <w:p>
            <w:pPr>
              <w:pStyle w:val="Compact"/>
            </w:pPr>
            <w:r>
              <w:t xml:space="preserve">„Ein interner Fehler ist aufgetreten. …“; Original mit vollem Stack-Trace via ERROR geloggt</w:t>
            </w:r>
          </w:p>
        </w:tc>
      </w:tr>
    </w:tbl>
    <w:p>
      <w:pPr>
        <w:pStyle w:val="BodyText"/>
      </w:pPr>
      <w:r>
        <w:t xml:space="preserve">Ergänzend setzen die</w:t>
      </w:r>
      <w:r>
        <w:t xml:space="preserve"> </w:t>
      </w:r>
      <w:r>
        <w:rPr>
          <w:rStyle w:val="VerbatimChar"/>
        </w:rPr>
        <w:t xml:space="preserve">server.error.include-*: never</w:t>
      </w:r>
      <w:r>
        <w:t xml:space="preserve">/</w:t>
      </w:r>
      <w:r>
        <w:rPr>
          <w:rStyle w:val="VerbatimChar"/>
        </w:rPr>
        <w:t xml:space="preserve">false</w:t>
      </w:r>
      <w:r>
        <w:t xml:space="preserve">-Properties in</w:t>
      </w:r>
      <w:r>
        <w:t xml:space="preserve"> </w:t>
      </w:r>
      <w:r>
        <w:rPr>
          <w:rStyle w:val="VerbatimChar"/>
        </w:rPr>
        <w:t xml:space="preserve">application.yml</w:t>
      </w:r>
      <w:r>
        <w:t xml:space="preserve"> </w:t>
      </w:r>
      <w:r>
        <w:t xml:space="preserve">Springs Whitelabel-Fallback auf still — falls das Catch-all je umgangen wird, bleibt die Response trotzdem sanitisiert. Unit-Tests in</w:t>
      </w:r>
      <w:r>
        <w:t xml:space="preserve"> </w:t>
      </w:r>
      <w:r>
        <w:rPr>
          <w:rStyle w:val="VerbatimChar"/>
        </w:rPr>
        <w:t xml:space="preserve">CommonExceptionHandlerTest</w:t>
      </w:r>
      <w:r>
        <w:t xml:space="preserve"> </w:t>
      </w:r>
      <w:r>
        <w:t xml:space="preserve">(7 Pfade) asserten konkret, dass weder SQL noch UUIDs noch Klassennamen in der</w:t>
      </w:r>
      <w:r>
        <w:t xml:space="preserve"> </w:t>
      </w:r>
      <w:r>
        <w:rPr>
          <w:rStyle w:val="VerbatimChar"/>
        </w:rPr>
        <w:t xml:space="preserve">detail</w:t>
      </w:r>
      <w:r>
        <w:t xml:space="preserve">-Zeile auftauchen.</w:t>
      </w:r>
    </w:p>
    <w:p>
      <w:pPr>
        <w:pStyle w:val="BodyText"/>
      </w:pPr>
      <w:r>
        <w:t xml:space="preserve">Das Antwortformat folgt</w:t>
      </w:r>
      <w:r>
        <w:t xml:space="preserve"> </w:t>
      </w:r>
      <w:r>
        <w:rPr>
          <w:b/>
          <w:bCs/>
        </w:rPr>
        <w:t xml:space="preserve">RFC 7807</w:t>
      </w:r>
      <w:r>
        <w:t xml:space="preserve"> </w:t>
      </w:r>
      <w:r>
        <w:t xml:space="preserve">über Springs</w:t>
      </w:r>
      <w:r>
        <w:t xml:space="preserve"> </w:t>
      </w:r>
      <w:r>
        <w:rPr>
          <w:rStyle w:val="VerbatimChar"/>
        </w:rPr>
        <w:t xml:space="preserve">ProblemDetail</w:t>
      </w:r>
      <w:r>
        <w:t xml:space="preserve"> </w:t>
      </w:r>
      <w:r>
        <w:t xml:space="preserve">(Felder</w:t>
      </w:r>
      <w:r>
        <w:t xml:space="preserve"> </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 ggf. zusätzliche Properties wie</w:t>
      </w:r>
      <w:r>
        <w:t xml:space="preserve"> </w:t>
      </w:r>
      <w:r>
        <w:rPr>
          <w:rStyle w:val="VerbatimChar"/>
        </w:rPr>
        <w:t xml:space="preserve">errors</w:t>
      </w:r>
      <w:r>
        <w:t xml:space="preserve">) — der Spring-native Standard, der das früher geplante Ad-hoc-Format</w:t>
      </w:r>
      <w:r>
        <w:t xml:space="preserve"> </w:t>
      </w:r>
      <w:r>
        <w:rPr>
          <w:rStyle w:val="VerbatimChar"/>
        </w:rPr>
        <w:t xml:space="preserve">{error-code, message, timestamp}</w:t>
      </w:r>
      <w:r>
        <w:t xml:space="preserve"> </w:t>
      </w:r>
      <w:r>
        <w:t xml:space="preserve">ablöst.</w:t>
      </w:r>
      <w:r>
        <w:t xml:space="preserve"> </w:t>
      </w:r>
      <w:r>
        <w:t xml:space="preserve">Die ProblemDetail-Schemas (400, 404, 409, 422, 502) werden mit der OpenAPI-Spec via springdoc automatisch publiziert und sind unter</w:t>
      </w:r>
      <w:r>
        <w:t xml:space="preserve"> </w:t>
      </w:r>
      <w:r>
        <w:rPr>
          <w:rStyle w:val="VerbatimChar"/>
        </w:rPr>
        <w:t xml:space="preserve">/v3/api-docs</w:t>
      </w:r>
      <w:r>
        <w:t xml:space="preserve"> </w:t>
      </w:r>
      <w:r>
        <w:t xml:space="preserve">einsehbar.</w:t>
      </w:r>
    </w:p>
    <w:bookmarkEnd w:id="65"/>
    <w:bookmarkStart w:id="66" w:name="logging-und-monitoring"/>
    <w:p>
      <w:pPr>
        <w:pStyle w:val="Heading3"/>
      </w:pPr>
      <w:r>
        <w:t xml:space="preserve">8.4 Logging und Monitoring</w:t>
      </w:r>
    </w:p>
    <w:p>
      <w:pPr>
        <w:pStyle w:val="FirstParagraph"/>
      </w:pPr>
      <w:r>
        <w:t xml:space="preserve">Strukturiertes Logging via SLF4J/Logback im JSON-Format. Spring Boot Actuator stellt Health-, Metrics- und Info-Endpunkte bereit. Metriken können über Prometheus/Grafana überwacht werden.</w:t>
      </w:r>
    </w:p>
    <w:bookmarkEnd w:id="66"/>
    <w:bookmarkStart w:id="67" w:name="testkonzept"/>
    <w:p>
      <w:pPr>
        <w:pStyle w:val="Heading3"/>
      </w:pPr>
      <w:r>
        <w:t xml:space="preserve">8.5 Testkonzept</w:t>
      </w:r>
    </w:p>
    <w:p>
      <w:pPr>
        <w:pStyle w:val="Compact"/>
        <w:numPr>
          <w:ilvl w:val="0"/>
          <w:numId w:val="1010"/>
        </w:numPr>
      </w:pPr>
      <w:r>
        <w:rPr>
          <w:b/>
          <w:bCs/>
        </w:rPr>
        <w:t xml:space="preserve">Unit Tests (Backend):</w:t>
      </w:r>
      <w:r>
        <w:t xml:space="preserve"> </w:t>
      </w:r>
      <w:r>
        <w:t xml:space="preserve">JUnit 5 (Jupiter) für Domänenlogik und Services; Mockito für das Mocking von Ports und externen Abhängigkeiten.</w:t>
      </w:r>
    </w:p>
    <w:p>
      <w:pPr>
        <w:pStyle w:val="Compact"/>
        <w:numPr>
          <w:ilvl w:val="0"/>
          <w:numId w:val="1010"/>
        </w:numPr>
      </w:pPr>
      <w:r>
        <w:rPr>
          <w:b/>
          <w:bCs/>
        </w:rPr>
        <w:t xml:space="preserve">Integrations-/API-Tests (Backend):</w:t>
      </w:r>
      <w:r>
        <w:t xml:space="preserve"> </w:t>
      </w:r>
      <w:r>
        <w:t xml:space="preserve">Spring Boot Test mit Testcontainers (PostgreSQL) und MockMvc (</w:t>
      </w:r>
      <w:r>
        <w:rPr>
          <w:rStyle w:val="VerbatimChar"/>
        </w:rPr>
        <w:t xml:space="preserve">AbstractIntegrationTest</w:t>
      </w:r>
      <w:r>
        <w:t xml:space="preserve">); die JWT-Validierung wird via Spring Security Test gemockt — kein laufendes Keycloak nötig.</w:t>
      </w:r>
    </w:p>
    <w:p>
      <w:pPr>
        <w:pStyle w:val="Compact"/>
        <w:numPr>
          <w:ilvl w:val="0"/>
          <w:numId w:val="1010"/>
        </w:numPr>
      </w:pPr>
      <w:r>
        <w:rPr>
          <w:b/>
          <w:bCs/>
        </w:rPr>
        <w:t xml:space="preserve">Coverage-Gate (Backend):</w:t>
      </w:r>
      <w:r>
        <w:t xml:space="preserve"> </w:t>
      </w:r>
      <w:r>
        <w:t xml:space="preserve">JaCoCo, modulübergreifend aggregiert. Die</w:t>
      </w:r>
      <w:r>
        <w:t xml:space="preserve"> </w:t>
      </w:r>
      <w:r>
        <w:rPr>
          <w:rStyle w:val="VerbatimChar"/>
        </w:rPr>
        <w:t xml:space="preserve">*IT</w:t>
      </w:r>
      <w:r>
        <w:t xml:space="preserve">-Integrationstests liegen im</w:t>
      </w:r>
      <w:r>
        <w:t xml:space="preserve"> </w:t>
      </w:r>
      <w:r>
        <w:rPr>
          <w:rStyle w:val="VerbatimChar"/>
        </w:rPr>
        <w:t xml:space="preserve">app</w:t>
      </w:r>
      <w:r>
        <w:t xml:space="preserve">-Modul, decken aber Klassen aller Module ab — per-Modul-Reports würden unterzählen. Die Root-Tasks</w:t>
      </w:r>
      <w:r>
        <w:t xml:space="preserve"> </w:t>
      </w:r>
      <w:r>
        <w:rPr>
          <w:rStyle w:val="VerbatimChar"/>
        </w:rPr>
        <w:t xml:space="preserve">jacocoRootReport</w:t>
      </w:r>
      <w:r>
        <w:t xml:space="preserve"> </w:t>
      </w:r>
      <w:r>
        <w:t xml:space="preserve">(Report) und</w:t>
      </w:r>
      <w:r>
        <w:t xml:space="preserve"> </w:t>
      </w:r>
      <w:r>
        <w:rPr>
          <w:rStyle w:val="VerbatimChar"/>
        </w:rPr>
        <w:t xml:space="preserve">jacocoRootCoverageVerification</w:t>
      </w:r>
      <w:r>
        <w:t xml:space="preserve"> </w:t>
      </w:r>
      <w:r>
        <w:t xml:space="preserve">(Gate) kombinieren die</w:t>
      </w:r>
      <w:r>
        <w:t xml:space="preserve"> </w:t>
      </w:r>
      <w:r>
        <w:rPr>
          <w:rStyle w:val="VerbatimChar"/>
        </w:rPr>
        <w:t xml:space="preserve">test.exec</w:t>
      </w:r>
      <w:r>
        <w:t xml:space="preserve">-Daten aller Module gegen alle</w:t>
      </w:r>
      <w:r>
        <w:t xml:space="preserve"> </w:t>
      </w:r>
      <w:r>
        <w:rPr>
          <w:rStyle w:val="VerbatimChar"/>
        </w:rPr>
        <w:t xml:space="preserve">main</w:t>
      </w:r>
      <w:r>
        <w:t xml:space="preserve">-Sources. Das Gate ist in</w:t>
      </w:r>
      <w:r>
        <w:t xml:space="preserve"> </w:t>
      </w:r>
      <w:r>
        <w:rPr>
          <w:rStyle w:val="VerbatimChar"/>
        </w:rPr>
        <w:t xml:space="preserve">check</w:t>
      </w:r>
      <w:r>
        <w:t xml:space="preserve"> </w:t>
      </w:r>
      <w:r>
        <w:t xml:space="preserve">eingehängt und bricht den Build unter</w:t>
      </w:r>
      <w:r>
        <w:t xml:space="preserve"> </w:t>
      </w:r>
      <w:r>
        <w:rPr>
          <w:b/>
          <w:bCs/>
        </w:rPr>
        <w:t xml:space="preserve">85 % Line / 70 % Branch</w:t>
      </w:r>
      <w:r>
        <w:t xml:space="preserve"> </w:t>
      </w:r>
      <w:r>
        <w:t xml:space="preserve">(aktueller Stand ~95 % / ~80 %). Schwellen in</w:t>
      </w:r>
      <w:r>
        <w:t xml:space="preserve"> </w:t>
      </w:r>
      <w:r>
        <w:rPr>
          <w:rStyle w:val="VerbatimChar"/>
        </w:rPr>
        <w:t xml:space="preserve">backend/build.gradle.kts</w:t>
      </w:r>
      <w:r>
        <w:t xml:space="preserve"> </w:t>
      </w:r>
      <w:r>
        <w:t xml:space="preserve">(</w:t>
      </w:r>
      <w:r>
        <w:rPr>
          <w:rStyle w:val="VerbatimChar"/>
        </w:rPr>
        <w:t xml:space="preserve">violationRules</w:t>
      </w:r>
      <w:r>
        <w:t xml:space="preserve">).</w:t>
      </w:r>
    </w:p>
    <w:p>
      <w:pPr>
        <w:pStyle w:val="Compact"/>
        <w:numPr>
          <w:ilvl w:val="0"/>
          <w:numId w:val="1010"/>
        </w:numPr>
      </w:pPr>
      <w:r>
        <w:rPr>
          <w:b/>
          <w:bCs/>
        </w:rPr>
        <w:t xml:space="preserve">Frontend-Tests:</w:t>
      </w:r>
      <w:r>
        <w:t xml:space="preserve"> </w:t>
      </w:r>
      <w:r>
        <w:t xml:space="preserve">Vitest (</w:t>
      </w:r>
      <w:r>
        <w:rPr>
          <w:rStyle w:val="VerbatimChar"/>
        </w:rPr>
        <w:t xml:space="preserve">@angular/build:unit-test</w:t>
      </w:r>
      <w:r>
        <w:t xml:space="preserve">-Builder,</w:t>
      </w:r>
      <w:r>
        <w:t xml:space="preserve"> </w:t>
      </w:r>
      <w:r>
        <w:rPr>
          <w:rStyle w:val="VerbatimChar"/>
        </w:rPr>
        <w:t xml:space="preserve">*.spec.ts</w:t>
      </w:r>
      <w:r>
        <w:t xml:space="preserve">) für Unit-Tests sowie Cypress Component Testing (</w:t>
      </w:r>
      <w:r>
        <w:rPr>
          <w:rStyle w:val="VerbatimChar"/>
        </w:rPr>
        <w:t xml:space="preserve">*.cy.ts</w:t>
      </w:r>
      <w:r>
        <w:t xml:space="preserve">) für Komponenten-/Integrationstests mit gemockten HTTP-Calls (</w:t>
      </w:r>
      <w:r>
        <w:rPr>
          <w:rStyle w:val="VerbatimChar"/>
        </w:rPr>
        <w:t xml:space="preserve">cy.intercept</w:t>
      </w:r>
      <w:r>
        <w:t xml:space="preserve">).</w:t>
      </w:r>
    </w:p>
    <w:bookmarkEnd w:id="67"/>
    <w:bookmarkStart w:id="68" w:name="continuous-integration-build-gate"/>
    <w:p>
      <w:pPr>
        <w:pStyle w:val="Heading3"/>
      </w:pPr>
      <w:r>
        <w:t xml:space="preserve">8.6 Continuous Integration / Build-Gate</w:t>
      </w:r>
    </w:p>
    <w:p>
      <w:pPr>
        <w:pStyle w:val="FirstParagraph"/>
      </w:pPr>
      <w:r>
        <w:t xml:space="preserve">Zwei GitHub-Actions-Workflows laufen bei jedem Push und Pull Request auf</w:t>
      </w:r>
      <w:r>
        <w:t xml:space="preserve"> </w:t>
      </w:r>
      <w:r>
        <w:rPr>
          <w:rStyle w:val="VerbatimChar"/>
        </w:rPr>
        <w:t xml:space="preserve">develop</w:t>
      </w:r>
      <w:r>
        <w:t xml:space="preserve"> </w:t>
      </w:r>
      <w:r>
        <w:t xml:space="preserve">und</w:t>
      </w:r>
      <w:r>
        <w:t xml:space="preserve"> </w:t>
      </w:r>
      <w:r>
        <w:rPr>
          <w:rStyle w:val="VerbatimChar"/>
        </w:rPr>
        <w:t xml:space="preserve">main</w:t>
      </w:r>
      <w:r>
        <w:t xml:space="preserve">:</w:t>
      </w:r>
    </w:p>
    <w:tbl>
      <w:tblPr>
        <w:tblStyle w:val="Table"/>
        <w:tblW w:type="pct" w:w="5000"/>
        <w:tblLayout w:type="fixed"/>
        <w:tblLook w:firstRow="1" w:lastRow="0" w:firstColumn="0" w:lastColumn="0" w:noHBand="0" w:noVBand="0" w:val="0020"/>
      </w:tblPr>
      <w:tblGrid>
        <w:gridCol w:w="3168"/>
        <w:gridCol w:w="2217"/>
        <w:gridCol w:w="2534"/>
      </w:tblGrid>
      <w:tr>
        <w:trPr>
          <w:tblHeader w:val="on"/>
        </w:trPr>
        <w:tc>
          <w:tcPr/>
          <w:p>
            <w:pPr>
              <w:pStyle w:val="Compact"/>
            </w:pPr>
            <w:r>
              <w:t xml:space="preserve">Workflow</w:t>
            </w:r>
          </w:p>
        </w:tc>
        <w:tc>
          <w:tcPr/>
          <w:p>
            <w:pPr>
              <w:pStyle w:val="Compact"/>
            </w:pPr>
            <w:r>
              <w:t xml:space="preserve">Datei</w:t>
            </w:r>
          </w:p>
        </w:tc>
        <w:tc>
          <w:tcPr/>
          <w:p>
            <w:pPr>
              <w:pStyle w:val="Compact"/>
            </w:pPr>
            <w:r>
              <w:t xml:space="preserve">Inhalt</w:t>
            </w:r>
          </w:p>
        </w:tc>
      </w:tr>
      <w:tr>
        <w:tc>
          <w:tcPr/>
          <w:p>
            <w:pPr>
              <w:pStyle w:val="Compact"/>
            </w:pPr>
            <w:r>
              <w:rPr>
                <w:b/>
                <w:bCs/>
              </w:rPr>
              <w:t xml:space="preserve">Backend CI</w:t>
            </w:r>
          </w:p>
        </w:tc>
        <w:tc>
          <w:tcPr/>
          <w:p>
            <w:pPr>
              <w:pStyle w:val="Compact"/>
            </w:pPr>
            <w:r>
              <w:rPr>
                <w:rStyle w:val="VerbatimChar"/>
              </w:rPr>
              <w:t xml:space="preserve">.github/workflows/backend-ci.yml</w:t>
            </w:r>
          </w:p>
        </w:tc>
        <w:tc>
          <w:tcPr/>
          <w:p>
            <w:pPr>
              <w:pStyle w:val="Compact"/>
            </w:pPr>
            <w:r>
              <w:rPr>
                <w:rStyle w:val="VerbatimChar"/>
              </w:rPr>
              <w:t xml:space="preserve">./gradlew check</w:t>
            </w:r>
            <w:r>
              <w:t xml:space="preserve"> </w:t>
            </w:r>
            <w:r>
              <w:t xml:space="preserve">(alle Tests + JaCoCo-Coverage-Gate) auf</w:t>
            </w:r>
            <w:r>
              <w:t xml:space="preserve"> </w:t>
            </w:r>
            <w:r>
              <w:rPr>
                <w:rStyle w:val="VerbatimChar"/>
              </w:rPr>
              <w:t xml:space="preserve">ubuntu-latest</w:t>
            </w:r>
            <w:r>
              <w:t xml:space="preserve"> </w:t>
            </w:r>
            <w:r>
              <w:t xml:space="preserve">mit JDK 25 (Temurin). Lädt den aggregierten Coverage-Report als Build-Artifact hoch. Testcontainers nutzt das auf</w:t>
            </w:r>
            <w:r>
              <w:t xml:space="preserve"> </w:t>
            </w:r>
            <w:r>
              <w:rPr>
                <w:rStyle w:val="VerbatimChar"/>
              </w:rPr>
              <w:t xml:space="preserve">ubuntu-latest</w:t>
            </w:r>
            <w:r>
              <w:t xml:space="preserve"> </w:t>
            </w:r>
            <w:r>
              <w:t xml:space="preserve">nativ vorhandene Docker — keine Zusatzkonfiguration nötig.</w:t>
            </w:r>
          </w:p>
        </w:tc>
      </w:tr>
      <w:tr>
        <w:tc>
          <w:tcPr/>
          <w:p>
            <w:pPr>
              <w:pStyle w:val="Compact"/>
            </w:pPr>
            <w:r>
              <w:rPr>
                <w:b/>
                <w:bCs/>
              </w:rPr>
              <w:t xml:space="preserve">Frontend CI</w:t>
            </w:r>
          </w:p>
        </w:tc>
        <w:tc>
          <w:tcPr/>
          <w:p>
            <w:pPr>
              <w:pStyle w:val="Compact"/>
            </w:pPr>
            <w:r>
              <w:rPr>
                <w:rStyle w:val="VerbatimChar"/>
              </w:rPr>
              <w:t xml:space="preserve">.github/workflows/frontend-ci.yml</w:t>
            </w:r>
          </w:p>
        </w:tc>
        <w:tc>
          <w:tcPr/>
          <w:p>
            <w:pPr>
              <w:pStyle w:val="Compact"/>
            </w:pPr>
            <w:r>
              <w:rPr>
                <w:rStyle w:val="VerbatimChar"/>
              </w:rPr>
              <w:t xml:space="preserve">ng build</w:t>
            </w:r>
            <w:r>
              <w:t xml:space="preserve"> </w:t>
            </w:r>
            <w:r>
              <w:t xml:space="preserve">+ Vitest-Unit-Tests + Cypress-Komponententests auf Node 22 (mit npm- und Cypress-Binary-Cache).</w:t>
            </w:r>
          </w:p>
        </w:tc>
      </w:tr>
    </w:tbl>
    <w:p>
      <w:pPr>
        <w:pStyle w:val="BodyText"/>
      </w:pPr>
      <w:r>
        <w:t xml:space="preserve">Beide Checks sind auf</w:t>
      </w:r>
      <w:r>
        <w:t xml:space="preserve"> </w:t>
      </w:r>
      <w:r>
        <w:rPr>
          <w:rStyle w:val="VerbatimChar"/>
        </w:rPr>
        <w:t xml:space="preserve">develop</w:t>
      </w:r>
      <w:r>
        <w:t xml:space="preserve"> </w:t>
      </w:r>
      <w:r>
        <w:t xml:space="preserve">und</w:t>
      </w:r>
      <w:r>
        <w:t xml:space="preserve"> </w:t>
      </w:r>
      <w:r>
        <w:rPr>
          <w:rStyle w:val="VerbatimChar"/>
        </w:rPr>
        <w:t xml:space="preserve">main</w:t>
      </w:r>
      <w:r>
        <w:t xml:space="preserve"> </w:t>
      </w:r>
      <w:r>
        <w:t xml:space="preserve">als</w:t>
      </w:r>
      <w:r>
        <w:t xml:space="preserve"> </w:t>
      </w:r>
      <w:r>
        <w:rPr>
          <w:b/>
          <w:bCs/>
        </w:rPr>
        <w:t xml:space="preserve">required status checks</w:t>
      </w:r>
      <w:r>
        <w:t xml:space="preserve"> </w:t>
      </w:r>
      <w:r>
        <w:t xml:space="preserve">via Branch Protection gesetzt: Ein PR kann erst gemergt werden, wenn beide grün sind. Damit pfadgefilterte Workflows die required Checks nicht blockieren (ein nicht ausgelöster Check bliebe „pending” und würde den Merge verhindern), laufen beide Workflows ohne Pfadfilter bei jedem Push/PR auf die geschützten Branches.</w:t>
      </w:r>
      <w:r>
        <w:t xml:space="preserve"> </w:t>
      </w:r>
      <w:r>
        <w:rPr>
          <w:rStyle w:val="VerbatimChar"/>
        </w:rPr>
        <w:t xml:space="preserve">enforce_admins</w:t>
      </w:r>
      <w:r>
        <w:t xml:space="preserve"> </w:t>
      </w:r>
      <w:r>
        <w:t xml:space="preserve">ist deaktiviert, sodass Repo-Admins im Notfall überstimmen können.</w:t>
      </w:r>
    </w:p>
    <w:bookmarkEnd w:id="68"/>
    <w:bookmarkStart w:id="69" w:name="testergebnisse"/>
    <w:p>
      <w:pPr>
        <w:pStyle w:val="Heading3"/>
      </w:pPr>
      <w:r>
        <w:t xml:space="preserve">8.7 Testergebnisse</w:t>
      </w:r>
    </w:p>
    <w:p>
      <w:pPr>
        <w:pStyle w:val="FirstParagraph"/>
      </w:pPr>
      <w:r>
        <w:t xml:space="preserve">Snapshot vom</w:t>
      </w:r>
      <w:r>
        <w:t xml:space="preserve"> </w:t>
      </w:r>
      <w:r>
        <w:rPr>
          <w:b/>
          <w:bCs/>
        </w:rPr>
        <w:t xml:space="preserve">2026-06-13</w:t>
      </w:r>
      <w:r>
        <w:t xml:space="preserve"> </w:t>
      </w:r>
      <w:r>
        <w:t xml:space="preserve">(Branch</w:t>
      </w:r>
      <w:r>
        <w:t xml:space="preserve"> </w:t>
      </w:r>
      <w:r>
        <w:rPr>
          <w:rStyle w:val="VerbatimChar"/>
        </w:rPr>
        <w:t xml:space="preserve">develop</w:t>
      </w:r>
      <w:r>
        <w:t xml:space="preserve">, Stand nach PR #6). Reproduzierbar mit:</w:t>
      </w:r>
    </w:p>
    <w:p>
      <w:pPr>
        <w:pStyle w:val="SourceCode"/>
      </w:pPr>
      <w:r>
        <w:rPr>
          <w:rStyle w:val="BuiltInTok"/>
        </w:rPr>
        <w:t xml:space="preserve">cd</w:t>
      </w:r>
      <w:r>
        <w:rPr>
          <w:rStyle w:val="NormalTok"/>
        </w:rPr>
        <w:t xml:space="preserve"> backend</w:t>
      </w:r>
      <w:r>
        <w:br/>
      </w:r>
      <w:r>
        <w:rPr>
          <w:rStyle w:val="VariableTok"/>
        </w:rPr>
        <w:t xml:space="preserve">JAVA_HOME</w:t>
      </w:r>
      <w:r>
        <w:rPr>
          <w:rStyle w:val="OperatorTok"/>
        </w:rPr>
        <w:t xml:space="preserve">=</w:t>
      </w:r>
      <w:r>
        <w:rPr>
          <w:rStyle w:val="NormalTok"/>
        </w:rPr>
        <w:t xml:space="preserve">/opt/java/jdk-25.0.1 </w:t>
      </w:r>
      <w:r>
        <w:rPr>
          <w:rStyle w:val="VariableTok"/>
        </w:rPr>
        <w:t xml:space="preserve">DOCKER_HOST</w:t>
      </w:r>
      <w:r>
        <w:rPr>
          <w:rStyle w:val="OperatorTok"/>
        </w:rPr>
        <w:t xml:space="preserve">=</w:t>
      </w:r>
      <w:r>
        <w:rPr>
          <w:rStyle w:val="NormalTok"/>
        </w:rPr>
        <w:t xml:space="preserve">unix:///var/run/docker.sock </w:t>
      </w:r>
      <w:r>
        <w:rPr>
          <w:rStyle w:val="DataTypeTok"/>
        </w:rPr>
        <w:t xml:space="preserve">\</w:t>
      </w:r>
      <w:r>
        <w:br/>
      </w:r>
      <w:r>
        <w:rPr>
          <w:rStyle w:val="NormalTok"/>
        </w:rPr>
        <w:t xml:space="preserve">  </w:t>
      </w:r>
      <w:r>
        <w:rPr>
          <w:rStyle w:val="VariableTok"/>
        </w:rPr>
        <w:t xml:space="preserve">TESTCONTAINERS_RYUK_DISABLED</w:t>
      </w:r>
      <w:r>
        <w:rPr>
          <w:rStyle w:val="OperatorTok"/>
        </w:rPr>
        <w:t xml:space="preserve">=</w:t>
      </w:r>
      <w:r>
        <w:rPr>
          <w:rStyle w:val="NormalTok"/>
        </w:rPr>
        <w:t xml:space="preserve">true </w:t>
      </w:r>
      <w:r>
        <w:rPr>
          <w:rStyle w:val="ExtensionTok"/>
        </w:rPr>
        <w:t xml:space="preserve">./gradlew</w:t>
      </w:r>
      <w:r>
        <w:rPr>
          <w:rStyle w:val="NormalTok"/>
        </w:rPr>
        <w:t xml:space="preserve"> clean test jacocoRootReport</w:t>
      </w:r>
    </w:p>
    <w:p>
      <w:pPr>
        <w:pStyle w:val="FirstParagraph"/>
      </w:pPr>
      <w:r>
        <w:t xml:space="preserve">Der aggregierte Coverage-Report dieses Snapshots ist</w:t>
      </w:r>
      <w:r>
        <w:t xml:space="preserve"> </w:t>
      </w:r>
      <w:r>
        <w:rPr>
          <w:b/>
          <w:bCs/>
        </w:rPr>
        <w:t xml:space="preserve">nachvollziehbar im Repository eingecheckt</w:t>
      </w:r>
      <w:r>
        <w:t xml:space="preserve"> </w:t>
      </w:r>
      <w:r>
        <w:t xml:space="preserve">unter</w:t>
      </w:r>
      <w:r>
        <w:t xml:space="preserve"> </w:t>
      </w:r>
      <w:r>
        <w:rPr>
          <w:rStyle w:val="VerbatimChar"/>
        </w:rPr>
        <w:t xml:space="preserve">backend/doc/reports/jacoco/jacocoRootReport/</w:t>
      </w:r>
      <w:r>
        <w:t xml:space="preserve"> </w:t>
      </w:r>
      <w:r>
        <w:t xml:space="preserve">(HTML/XML/CSV — Einstieg</w:t>
      </w:r>
      <w:r>
        <w:t xml:space="preserve"> </w:t>
      </w:r>
      <w:r>
        <w:rPr>
          <w:rStyle w:val="VerbatimChar"/>
        </w:rPr>
        <w:t xml:space="preserve">html/index.html</w:t>
      </w:r>
      <w:r>
        <w:t xml:space="preserve">). Frisch generiert landet er zusätzlich unter</w:t>
      </w:r>
      <w:r>
        <w:t xml:space="preserve"> </w:t>
      </w:r>
      <w:r>
        <w:rPr>
          <w:rStyle w:val="VerbatimChar"/>
        </w:rPr>
        <w:t xml:space="preserve">backend/build/reports/jacoco/jacocoRootReport/</w:t>
      </w:r>
      <w:r>
        <w:t xml:space="preserve">, und die CI lädt ihn bei jedem Lauf auf</w:t>
      </w:r>
      <w:r>
        <w:t xml:space="preserve"> </w:t>
      </w:r>
      <w:r>
        <w:rPr>
          <w:rStyle w:val="VerbatimChar"/>
        </w:rPr>
        <w:t xml:space="preserve">develop</w:t>
      </w:r>
      <w:r>
        <w:t xml:space="preserve">/</w:t>
      </w:r>
      <w:r>
        <w:rPr>
          <w:rStyle w:val="VerbatimChar"/>
        </w:rPr>
        <w:t xml:space="preserve">main</w:t>
      </w:r>
      <w:r>
        <w:t xml:space="preserve"> </w:t>
      </w:r>
      <w:r>
        <w:t xml:space="preserve">als Build-Artifact des Workflows</w:t>
      </w:r>
      <w:r>
        <w:t xml:space="preserve"> </w:t>
      </w:r>
      <w:r>
        <w:rPr>
          <w:b/>
          <w:bCs/>
        </w:rPr>
        <w:t xml:space="preserve">Backend CI</w:t>
      </w:r>
      <w:r>
        <w:t xml:space="preserve"> </w:t>
      </w:r>
      <w:r>
        <w:t xml:space="preserve">hoch.</w:t>
      </w:r>
    </w:p>
    <w:p>
      <w:pPr>
        <w:pStyle w:val="BodyText"/>
      </w:pPr>
      <w:r>
        <w:rPr>
          <w:b/>
          <w:bCs/>
        </w:rPr>
        <w:t xml:space="preserve">Backend — Testanzahl (alle grün, 0 Failures / 0 Errors / 0 Skipped):</w:t>
      </w:r>
    </w:p>
    <w:tbl>
      <w:tblPr>
        <w:tblStyle w:val="Table"/>
        <w:tblW w:type="pct" w:w="5000"/>
        <w:tblLayout w:type="fixed"/>
        <w:tblLook w:firstRow="1" w:lastRow="0" w:firstColumn="0" w:lastColumn="0" w:noHBand="0" w:noVBand="0" w:val="0020"/>
      </w:tblPr>
      <w:tblGrid>
        <w:gridCol w:w="2053"/>
        <w:gridCol w:w="2053"/>
        <w:gridCol w:w="3813"/>
      </w:tblGrid>
      <w:tr>
        <w:trPr>
          <w:tblHeader w:val="on"/>
        </w:trPr>
        <w:tc>
          <w:tcPr/>
          <w:p>
            <w:pPr>
              <w:pStyle w:val="Compact"/>
            </w:pPr>
            <w:r>
              <w:t xml:space="preserve">Modul</w:t>
            </w:r>
          </w:p>
        </w:tc>
        <w:tc>
          <w:tcPr/>
          <w:p>
            <w:pPr>
              <w:pStyle w:val="Compact"/>
              <w:jc w:val="right"/>
            </w:pPr>
            <w:r>
              <w:t xml:space="preserve">Tests</w:t>
            </w:r>
          </w:p>
        </w:tc>
        <w:tc>
          <w:tcPr/>
          <w:p>
            <w:pPr>
              <w:pStyle w:val="Compact"/>
            </w:pPr>
            <w:r>
              <w:t xml:space="preserve">Schwerpunkt</w:t>
            </w:r>
          </w:p>
        </w:tc>
      </w:tr>
      <w:tr>
        <w:tc>
          <w:tcPr/>
          <w:p>
            <w:pPr>
              <w:pStyle w:val="Compact"/>
            </w:pPr>
            <w:r>
              <w:rPr>
                <w:rStyle w:val="VerbatimChar"/>
              </w:rPr>
              <w:t xml:space="preserve">app</w:t>
            </w:r>
          </w:p>
        </w:tc>
        <w:tc>
          <w:tcPr/>
          <w:p>
            <w:pPr>
              <w:pStyle w:val="Compact"/>
              <w:jc w:val="right"/>
            </w:pPr>
            <w:r>
              <w:t xml:space="preserve">78</w:t>
            </w:r>
          </w:p>
        </w:tc>
        <w:tc>
          <w:tcPr/>
          <w:p>
            <w:pPr>
              <w:pStyle w:val="Compact"/>
            </w:pPr>
            <w:r>
              <w:t xml:space="preserve">Integrations-/API-Tests (Testcontainers + MockMvc) über alle Module;</w:t>
            </w:r>
            <w:r>
              <w:t xml:space="preserve"> </w:t>
            </w:r>
            <w:r>
              <w:rPr>
                <w:rStyle w:val="VerbatimChar"/>
              </w:rPr>
              <w:t xml:space="preserve">ArchitectureTest</w:t>
            </w:r>
            <w:r>
              <w:t xml:space="preserve"> </w:t>
            </w:r>
            <w:r>
              <w:t xml:space="preserve">(Schichten/Modulgrenzen)</w:t>
            </w:r>
          </w:p>
        </w:tc>
      </w:tr>
      <w:tr>
        <w:tc>
          <w:tcPr/>
          <w:p>
            <w:pPr>
              <w:pStyle w:val="Compact"/>
            </w:pPr>
            <w:r>
              <w:rPr>
                <w:rStyle w:val="VerbatimChar"/>
              </w:rPr>
              <w:t xml:space="preserve">match-module</w:t>
            </w:r>
          </w:p>
        </w:tc>
        <w:tc>
          <w:tcPr/>
          <w:p>
            <w:pPr>
              <w:pStyle w:val="Compact"/>
              <w:jc w:val="right"/>
            </w:pPr>
            <w:r>
              <w:t xml:space="preserve">60</w:t>
            </w:r>
          </w:p>
        </w:tc>
        <w:tc>
          <w:tcPr/>
          <w:p>
            <w:pPr>
              <w:pStyle w:val="Compact"/>
            </w:pPr>
            <w:r>
              <w:t xml:space="preserve">Scoring-Regeln (</w:t>
            </w:r>
            <w:r>
              <w:rPr>
                <w:rStyle w:val="VerbatimChar"/>
              </w:rPr>
              <w:t xml:space="preserve">ScoringService</w:t>
            </w:r>
            <w:r>
              <w:t xml:space="preserve">), Match-Lebenszyklus, Break-Point-Logik</w:t>
            </w:r>
          </w:p>
        </w:tc>
      </w:tr>
      <w:tr>
        <w:tc>
          <w:tcPr/>
          <w:p>
            <w:pPr>
              <w:pStyle w:val="Compact"/>
            </w:pPr>
            <w:r>
              <w:rPr>
                <w:rStyle w:val="VerbatimChar"/>
              </w:rPr>
              <w:t xml:space="preserve">statistics-module</w:t>
            </w:r>
          </w:p>
        </w:tc>
        <w:tc>
          <w:tcPr/>
          <w:p>
            <w:pPr>
              <w:pStyle w:val="Compact"/>
              <w:jc w:val="right"/>
            </w:pPr>
            <w:r>
              <w:t xml:space="preserve">31</w:t>
            </w:r>
          </w:p>
        </w:tc>
        <w:tc>
          <w:tcPr/>
          <w:p>
            <w:pPr>
              <w:pStyle w:val="Compact"/>
            </w:pPr>
            <w:r>
              <w:t xml:space="preserve">Punkt-Attribution und Kennzahlen-Berechnung (inkl. Head-to-Head)</w:t>
            </w:r>
          </w:p>
        </w:tc>
      </w:tr>
      <w:tr>
        <w:tc>
          <w:tcPr/>
          <w:p>
            <w:pPr>
              <w:pStyle w:val="Compact"/>
            </w:pPr>
            <w:r>
              <w:rPr>
                <w:rStyle w:val="VerbatimChar"/>
              </w:rPr>
              <w:t xml:space="preserve">player-module</w:t>
            </w:r>
          </w:p>
        </w:tc>
        <w:tc>
          <w:tcPr/>
          <w:p>
            <w:pPr>
              <w:pStyle w:val="Compact"/>
              <w:jc w:val="right"/>
            </w:pPr>
            <w:r>
              <w:t xml:space="preserve">16</w:t>
            </w:r>
          </w:p>
        </w:tc>
        <w:tc>
          <w:tcPr/>
          <w:p>
            <w:pPr>
              <w:pStyle w:val="Compact"/>
            </w:pPr>
            <w:r>
              <w:t xml:space="preserve">Spieler-Use-Cases inkl. Lösch-/Deaktivierungsregeln</w:t>
            </w:r>
          </w:p>
        </w:tc>
      </w:tr>
      <w:tr>
        <w:tc>
          <w:tcPr/>
          <w:p>
            <w:pPr>
              <w:pStyle w:val="Compact"/>
            </w:pPr>
            <w:r>
              <w:rPr>
                <w:rStyle w:val="VerbatimChar"/>
              </w:rPr>
              <w:t xml:space="preserve">ai-module</w:t>
            </w:r>
          </w:p>
        </w:tc>
        <w:tc>
          <w:tcPr/>
          <w:p>
            <w:pPr>
              <w:pStyle w:val="Compact"/>
              <w:jc w:val="right"/>
            </w:pPr>
            <w:r>
              <w:t xml:space="preserve">7</w:t>
            </w:r>
          </w:p>
        </w:tc>
        <w:tc>
          <w:tcPr/>
          <w:p>
            <w:pPr>
              <w:pStyle w:val="Compact"/>
            </w:pPr>
            <w:r>
              <w:rPr>
                <w:rStyle w:val="VerbatimChar"/>
              </w:rPr>
              <w:t xml:space="preserve">MatchAnalysisService</w:t>
            </w:r>
            <w:r>
              <w:t xml:space="preserve"> </w:t>
            </w:r>
            <w:r>
              <w:t xml:space="preserve">(inkl. Fehlerpfade) +</w:t>
            </w:r>
            <w:r>
              <w:t xml:space="preserve"> </w:t>
            </w:r>
            <w:r>
              <w:rPr>
                <w:rStyle w:val="VerbatimChar"/>
              </w:rPr>
              <w:t xml:space="preserve">OpenAiLlmAdapter</w:t>
            </w:r>
            <w:r>
              <w:t xml:space="preserve"> </w:t>
            </w:r>
            <w:r>
              <w:t xml:space="preserve">(WireMock)</w:t>
            </w:r>
          </w:p>
        </w:tc>
      </w:tr>
      <w:tr>
        <w:tc>
          <w:tcPr/>
          <w:p>
            <w:pPr>
              <w:pStyle w:val="Compact"/>
            </w:pPr>
            <w:r>
              <w:rPr>
                <w:b/>
                <w:bCs/>
              </w:rPr>
              <w:t xml:space="preserve">Gesamt</w:t>
            </w:r>
          </w:p>
        </w:tc>
        <w:tc>
          <w:tcPr/>
          <w:p>
            <w:pPr>
              <w:pStyle w:val="Compact"/>
              <w:jc w:val="right"/>
            </w:pPr>
            <w:r>
              <w:rPr>
                <w:b/>
                <w:bCs/>
              </w:rPr>
              <w:t xml:space="preserve">192</w:t>
            </w:r>
          </w:p>
        </w:tc>
        <w:tc>
          <w:tcPr/>
          <w:p>
            <w:pPr>
              <w:pStyle w:val="Compact"/>
            </w:pPr>
            <w:r>
              <w:t xml:space="preserve">Laufzeit ~15 s (ohne Container-Start)</w:t>
            </w:r>
          </w:p>
        </w:tc>
      </w:tr>
    </w:tbl>
    <w:p>
      <w:pPr>
        <w:pStyle w:val="BodyText"/>
      </w:pPr>
      <w:r>
        <w:rPr>
          <w:b/>
          <w:bCs/>
        </w:rPr>
        <w:t xml:space="preserve">Backend — Coverage (JaCoCo, modulübergreifend aggregiert):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Bereich</w:t>
            </w:r>
          </w:p>
        </w:tc>
        <w:tc>
          <w:tcPr/>
          <w:p>
            <w:pPr>
              <w:pStyle w:val="Compact"/>
              <w:jc w:val="right"/>
            </w:pPr>
            <w:r>
              <w:t xml:space="preserve">Line</w:t>
            </w:r>
          </w:p>
        </w:tc>
        <w:tc>
          <w:tcPr/>
          <w:p>
            <w:pPr>
              <w:pStyle w:val="Compact"/>
              <w:jc w:val="right"/>
            </w:pPr>
            <w:r>
              <w:t xml:space="preserve">Branch</w:t>
            </w:r>
          </w:p>
        </w:tc>
      </w:tr>
      <w:tr>
        <w:tc>
          <w:tcPr/>
          <w:p>
            <w:pPr>
              <w:pStyle w:val="Compact"/>
            </w:pPr>
            <w:r>
              <w:rPr>
                <w:b/>
                <w:bCs/>
              </w:rPr>
              <w:t xml:space="preserve">Gesamt</w:t>
            </w:r>
          </w:p>
        </w:tc>
        <w:tc>
          <w:tcPr/>
          <w:p>
            <w:pPr>
              <w:pStyle w:val="Compact"/>
              <w:jc w:val="right"/>
            </w:pPr>
            <w:r>
              <w:rPr>
                <w:b/>
                <w:bCs/>
              </w:rPr>
              <w:t xml:space="preserve">94,8 %</w:t>
            </w:r>
            <w:r>
              <w:t xml:space="preserve"> </w:t>
            </w:r>
            <w:r>
              <w:t xml:space="preserve">(1336/1410)</w:t>
            </w:r>
          </w:p>
        </w:tc>
        <w:tc>
          <w:tcPr/>
          <w:p>
            <w:pPr>
              <w:pStyle w:val="Compact"/>
              <w:jc w:val="right"/>
            </w:pPr>
            <w:r>
              <w:rPr>
                <w:b/>
                <w:bCs/>
              </w:rPr>
              <w:t xml:space="preserve">79,7 %</w:t>
            </w:r>
            <w:r>
              <w:t xml:space="preserve"> </w:t>
            </w:r>
            <w:r>
              <w:t xml:space="preserve">(278/349)</w:t>
            </w:r>
          </w:p>
        </w:tc>
      </w:tr>
      <w:tr>
        <w:tc>
          <w:tcPr/>
          <w:p>
            <w:pPr>
              <w:pStyle w:val="Compact"/>
            </w:pPr>
            <w:r>
              <w:rPr>
                <w:rStyle w:val="VerbatimChar"/>
              </w:rPr>
              <w:t xml:space="preserve">match</w:t>
            </w:r>
          </w:p>
        </w:tc>
        <w:tc>
          <w:tcPr/>
          <w:p>
            <w:pPr>
              <w:pStyle w:val="Compact"/>
              <w:jc w:val="right"/>
            </w:pPr>
            <w:r>
              <w:t xml:space="preserve">92,0 %</w:t>
            </w:r>
          </w:p>
        </w:tc>
        <w:tc>
          <w:tcPr/>
          <w:p>
            <w:pPr>
              <w:pStyle w:val="Compact"/>
              <w:jc w:val="right"/>
            </w:pPr>
            <w:r>
              <w:t xml:space="preserve">74,2 %</w:t>
            </w:r>
          </w:p>
        </w:tc>
      </w:tr>
      <w:tr>
        <w:tc>
          <w:tcPr/>
          <w:p>
            <w:pPr>
              <w:pStyle w:val="Compact"/>
            </w:pPr>
            <w:r>
              <w:rPr>
                <w:rStyle w:val="VerbatimChar"/>
              </w:rPr>
              <w:t xml:space="preserve">statistics</w:t>
            </w:r>
          </w:p>
        </w:tc>
        <w:tc>
          <w:tcPr/>
          <w:p>
            <w:pPr>
              <w:pStyle w:val="Compact"/>
              <w:jc w:val="right"/>
            </w:pPr>
            <w:r>
              <w:t xml:space="preserve">98,2 %</w:t>
            </w:r>
          </w:p>
        </w:tc>
        <w:tc>
          <w:tcPr/>
          <w:p>
            <w:pPr>
              <w:pStyle w:val="Compact"/>
              <w:jc w:val="right"/>
            </w:pPr>
            <w:r>
              <w:t xml:space="preserve">89,8 %</w:t>
            </w:r>
          </w:p>
        </w:tc>
      </w:tr>
      <w:tr>
        <w:tc>
          <w:tcPr/>
          <w:p>
            <w:pPr>
              <w:pStyle w:val="Compact"/>
            </w:pPr>
            <w:r>
              <w:rPr>
                <w:rStyle w:val="VerbatimChar"/>
              </w:rPr>
              <w:t xml:space="preserve">player</w:t>
            </w:r>
          </w:p>
        </w:tc>
        <w:tc>
          <w:tcPr/>
          <w:p>
            <w:pPr>
              <w:pStyle w:val="Compact"/>
              <w:jc w:val="right"/>
            </w:pPr>
            <w:r>
              <w:t xml:space="preserve">100 %</w:t>
            </w:r>
          </w:p>
        </w:tc>
        <w:tc>
          <w:tcPr/>
          <w:p>
            <w:pPr>
              <w:pStyle w:val="Compact"/>
              <w:jc w:val="right"/>
            </w:pPr>
            <w:r>
              <w:t xml:space="preserve">70,0 %</w:t>
            </w:r>
          </w:p>
        </w:tc>
      </w:tr>
      <w:tr>
        <w:tc>
          <w:tcPr/>
          <w:p>
            <w:pPr>
              <w:pStyle w:val="Compact"/>
            </w:pPr>
            <w:r>
              <w:rPr>
                <w:rStyle w:val="VerbatimChar"/>
              </w:rPr>
              <w:t xml:space="preserve">ai</w:t>
            </w:r>
          </w:p>
        </w:tc>
        <w:tc>
          <w:tcPr/>
          <w:p>
            <w:pPr>
              <w:pStyle w:val="Compact"/>
              <w:jc w:val="right"/>
            </w:pPr>
            <w:r>
              <w:t xml:space="preserve">94,8 %</w:t>
            </w:r>
          </w:p>
        </w:tc>
        <w:tc>
          <w:tcPr/>
          <w:p>
            <w:pPr>
              <w:pStyle w:val="Compact"/>
              <w:jc w:val="right"/>
            </w:pPr>
            <w:r>
              <w:t xml:space="preserve">72,2 %</w:t>
            </w:r>
          </w:p>
        </w:tc>
      </w:tr>
      <w:tr>
        <w:tc>
          <w:tcPr/>
          <w:p>
            <w:pPr>
              <w:pStyle w:val="Compact"/>
            </w:pPr>
            <w:r>
              <w:rPr>
                <w:rStyle w:val="VerbatimChar"/>
              </w:rPr>
              <w:t xml:space="preserve">common</w:t>
            </w:r>
          </w:p>
        </w:tc>
        <w:tc>
          <w:tcPr/>
          <w:p>
            <w:pPr>
              <w:pStyle w:val="Compact"/>
              <w:jc w:val="right"/>
            </w:pPr>
            <w:r>
              <w:t xml:space="preserve">100 %</w:t>
            </w:r>
          </w:p>
        </w:tc>
        <w:tc>
          <w:tcPr/>
          <w:p>
            <w:pPr>
              <w:pStyle w:val="Compact"/>
              <w:jc w:val="right"/>
            </w:pPr>
            <w:r>
              <w:t xml:space="preserve">75,0 %</w:t>
            </w:r>
          </w:p>
        </w:tc>
      </w:tr>
    </w:tbl>
    <w:p>
      <w:pPr>
        <w:pStyle w:val="BodyText"/>
      </w:pPr>
      <w:r>
        <w:t xml:space="preserve">Das Gate (</w:t>
      </w:r>
      <w:r>
        <w:rPr>
          <w:rStyle w:val="VerbatimChar"/>
        </w:rPr>
        <w:t xml:space="preserve">jacocoRootCoverageVerification</w:t>
      </w:r>
      <w:r>
        <w:t xml:space="preserve">, in</w:t>
      </w:r>
      <w:r>
        <w:t xml:space="preserve"> </w:t>
      </w:r>
      <w:r>
        <w:rPr>
          <w:rStyle w:val="VerbatimChar"/>
        </w:rPr>
        <w:t xml:space="preserve">check</w:t>
      </w:r>
      <w:r>
        <w:t xml:space="preserve"> </w:t>
      </w:r>
      <w:r>
        <w:t xml:space="preserve">eingehängt) verlangt</w:t>
      </w:r>
      <w:r>
        <w:t xml:space="preserve"> </w:t>
      </w:r>
      <w:r>
        <w:rPr>
          <w:b/>
          <w:bCs/>
        </w:rPr>
        <w:t xml:space="preserve">85 % Line / 70 % Branch</w:t>
      </w:r>
      <w:r>
        <w:t xml:space="preserve"> </w:t>
      </w:r>
      <w:r>
        <w:t xml:space="preserve">und ist erfüllt.</w:t>
      </w:r>
    </w:p>
    <w:p>
      <w:pPr>
        <w:pStyle w:val="BodyText"/>
      </w:pPr>
      <w:r>
        <w:rPr>
          <w:b/>
          <w:bCs/>
        </w:rPr>
        <w:t xml:space="preserve">Interpretation:</w:t>
      </w:r>
    </w:p>
    <w:p>
      <w:pPr>
        <w:pStyle w:val="Compact"/>
        <w:numPr>
          <w:ilvl w:val="0"/>
          <w:numId w:val="1011"/>
        </w:numPr>
      </w:pPr>
      <w:r>
        <w:rPr>
          <w:b/>
          <w:bCs/>
        </w:rPr>
        <w:t xml:space="preserve">Abgedeckt ist die fachliche Kernlogik</w:t>
      </w:r>
      <w:r>
        <w:t xml:space="preserve">: die Tennis-Zählregeln (Punkte/Spiele/Sätze, Tie-Break, Short Set, Break-Points) im</w:t>
      </w:r>
      <w:r>
        <w:t xml:space="preserve"> </w:t>
      </w:r>
      <w:r>
        <w:rPr>
          <w:rStyle w:val="VerbatimChar"/>
        </w:rPr>
        <w:t xml:space="preserve">match-module</w:t>
      </w:r>
      <w:r>
        <w:t xml:space="preserve">, die Punkt-Attribution und Statistik-Berechnung im</w:t>
      </w:r>
      <w:r>
        <w:t xml:space="preserve"> </w:t>
      </w:r>
      <w:r>
        <w:rPr>
          <w:rStyle w:val="VerbatimChar"/>
        </w:rPr>
        <w:t xml:space="preserve">statistics-module</w:t>
      </w:r>
      <w:r>
        <w:t xml:space="preserve">, die Spieler-Geschäftsregeln sowie die KI-Analyse inklusive Fehlerpfaden (LLM-Ausfall → HTTP 502, zu wenige Punkte → 422, Match nicht beendet → 409). Die Integrationstests fahren gegen eine</w:t>
      </w:r>
      <w:r>
        <w:t xml:space="preserve"> </w:t>
      </w:r>
      <w:r>
        <w:rPr>
          <w:b/>
          <w:bCs/>
        </w:rPr>
        <w:t xml:space="preserve">echte PostgreSQL</w:t>
      </w:r>
      <w:r>
        <w:t xml:space="preserve"> </w:t>
      </w:r>
      <w:r>
        <w:t xml:space="preserve">(Testcontainers) inklusive Flyway-Migrationen und Spring-Security-JWT, decken also den realen Persistenz- und Web-Stack ab. Der</w:t>
      </w:r>
      <w:r>
        <w:t xml:space="preserve"> </w:t>
      </w:r>
      <w:r>
        <w:rPr>
          <w:rStyle w:val="VerbatimChar"/>
        </w:rPr>
        <w:t xml:space="preserve">ArchitectureTest</w:t>
      </w:r>
      <w:r>
        <w:t xml:space="preserve"> </w:t>
      </w:r>
      <w:r>
        <w:t xml:space="preserve">sichert zusätzlich die Schichten-/Modulgrenzen ab.</w:t>
      </w:r>
    </w:p>
    <w:p>
      <w:pPr>
        <w:pStyle w:val="Compact"/>
        <w:numPr>
          <w:ilvl w:val="0"/>
          <w:numId w:val="1011"/>
        </w:numPr>
      </w:pPr>
      <w:r>
        <w:rPr>
          <w:b/>
          <w:bCs/>
        </w:rPr>
        <w:t xml:space="preserve">Die Branch-Coverage (80 %) liegt erwartungsgemäß unter der Line-Coverage.</w:t>
      </w:r>
      <w:r>
        <w:t xml:space="preserve"> </w:t>
      </w:r>
      <w:r>
        <w:t xml:space="preserve">Die nicht abgedeckten Zweige sind überwiegend</w:t>
      </w:r>
      <w:r>
        <w:t xml:space="preserve"> </w:t>
      </w:r>
      <w:r>
        <w:rPr>
          <w:b/>
          <w:bCs/>
        </w:rPr>
        <w:t xml:space="preserve">defensive Pfade</w:t>
      </w:r>
      <w:r>
        <w:t xml:space="preserve">: Guard-Klauseln (z. B.</w:t>
      </w:r>
      <w:r>
        <w:t xml:space="preserve"> </w:t>
      </w:r>
      <w:r>
        <w:rPr>
          <w:rStyle w:val="VerbatimChar"/>
        </w:rPr>
        <w:t xml:space="preserve">Point</w:t>
      </w:r>
      <w:r>
        <w:t xml:space="preserve">-Winner-Validierung, Null-Prüfungen in Mappern), Serialisierungs-Fehlerzweige im Persistenz-Adapter und selten erreichte Verzweigungen der Scoring-Logik. Diese werden bewusst nicht alle einzeln getestet — ein Gate von 70 % Branch verankert die Untergrenze, ohne Tests für triviale/defensive Zweige zu erzwingen.</w:t>
      </w:r>
    </w:p>
    <w:p>
      <w:pPr>
        <w:pStyle w:val="Compact"/>
        <w:numPr>
          <w:ilvl w:val="0"/>
          <w:numId w:val="1011"/>
        </w:numPr>
      </w:pPr>
      <w:r>
        <w:rPr>
          <w:b/>
          <w:bCs/>
        </w:rPr>
        <w:t xml:space="preserve">Bewusste Lücken:</w:t>
      </w:r>
      <w:r>
        <w:t xml:space="preserve"> </w:t>
      </w:r>
      <w:r>
        <w:t xml:space="preserve">Der OpenAI-</w:t>
      </w:r>
      <w:r>
        <w:rPr>
          <w:i/>
          <w:iCs/>
        </w:rPr>
        <w:t xml:space="preserve">Happy-Path</w:t>
      </w:r>
      <w:r>
        <w:t xml:space="preserve"> </w:t>
      </w:r>
      <w:r>
        <w:t xml:space="preserve">gegen die echte API ist nicht im automatisierten Lauf enthalten (über</w:t>
      </w:r>
      <w:r>
        <w:t xml:space="preserve"> </w:t>
      </w:r>
      <w:r>
        <w:rPr>
          <w:rStyle w:val="VerbatimChar"/>
        </w:rPr>
        <w:t xml:space="preserve">FakeLlmClientAdapter</w:t>
      </w:r>
      <w:r>
        <w:t xml:space="preserve">/WireMock abgebildet; manuelle Verifikation siehe TEN-25/TEN-26).</w:t>
      </w:r>
      <w:r>
        <w:t xml:space="preserve"> </w:t>
      </w:r>
      <w:r>
        <w:rPr>
          <w:rStyle w:val="VerbatimChar"/>
        </w:rPr>
        <w:t xml:space="preserve">TsasBackendApplication.main</w:t>
      </w:r>
      <w:r>
        <w:t xml:space="preserve"> </w:t>
      </w:r>
      <w:r>
        <w:t xml:space="preserve">und reine Konfigurationsklassen tragen kaum testbare Logik und drücken die Bereichswerte von</w:t>
      </w:r>
      <w:r>
        <w:t xml:space="preserve"> </w:t>
      </w:r>
      <w:r>
        <w:rPr>
          <w:rStyle w:val="VerbatimChar"/>
        </w:rPr>
        <w:t xml:space="preserve">app</w:t>
      </w:r>
      <w:r>
        <w:t xml:space="preserve">/</w:t>
      </w:r>
      <w:r>
        <w:rPr>
          <w:rStyle w:val="VerbatimChar"/>
        </w:rPr>
        <w:t xml:space="preserve">auth</w:t>
      </w:r>
      <w:r>
        <w:t xml:space="preserve"> </w:t>
      </w:r>
      <w:r>
        <w:t xml:space="preserve">optisch, sind aber fachlich irrelevant.</w:t>
      </w:r>
    </w:p>
    <w:p>
      <w:r>
        <w:pict>
          <v:rect style="width:0;height:1.5pt" o:hralign="center" o:hrstd="t" o:hr="t"/>
        </w:pict>
      </w:r>
    </w:p>
    <w:bookmarkEnd w:id="69"/>
    <w:bookmarkEnd w:id="70"/>
    <w:bookmarkStart w:id="71" w:name="architekturentscheidungen"/>
    <w:p>
      <w:pPr>
        <w:pStyle w:val="Heading2"/>
      </w:pPr>
      <w:r>
        <w:t xml:space="preserve">9. Architekturentscheidungen</w:t>
      </w:r>
    </w:p>
    <w:tbl>
      <w:tblPr>
        <w:tblStyle w:val="Table"/>
        <w:tblW w:type="pct" w:w="5000"/>
        <w:tblLayout w:type="fixed"/>
        <w:tblLook w:firstRow="1" w:lastRow="0" w:firstColumn="0" w:lastColumn="0" w:noHBand="0" w:noVBand="0" w:val="0020"/>
      </w:tblPr>
      <w:tblGrid>
        <w:gridCol w:w="856"/>
        <w:gridCol w:w="2782"/>
        <w:gridCol w:w="2568"/>
        <w:gridCol w:w="1712"/>
      </w:tblGrid>
      <w:tr>
        <w:trPr>
          <w:tblHeader w:val="on"/>
        </w:trPr>
        <w:tc>
          <w:tcPr/>
          <w:p>
            <w:pPr>
              <w:pStyle w:val="Compact"/>
            </w:pPr>
            <w:r>
              <w:t xml:space="preserve">ID</w:t>
            </w:r>
          </w:p>
        </w:tc>
        <w:tc>
          <w:tcPr/>
          <w:p>
            <w:pPr>
              <w:pStyle w:val="Compact"/>
            </w:pPr>
            <w:r>
              <w:t xml:space="preserve">Entscheidung</w:t>
            </w:r>
          </w:p>
        </w:tc>
        <w:tc>
          <w:tcPr/>
          <w:p>
            <w:pPr>
              <w:pStyle w:val="Compact"/>
            </w:pPr>
            <w:r>
              <w:t xml:space="preserve">Begründung</w:t>
            </w:r>
          </w:p>
        </w:tc>
        <w:tc>
          <w:tcPr/>
          <w:p>
            <w:pPr>
              <w:pStyle w:val="Compact"/>
            </w:pPr>
            <w:r>
              <w:t xml:space="preserve">Status</w:t>
            </w:r>
          </w:p>
        </w:tc>
      </w:tr>
      <w:tr>
        <w:tc>
          <w:tcPr/>
          <w:p>
            <w:pPr>
              <w:pStyle w:val="Compact"/>
            </w:pPr>
            <w:r>
              <w:t xml:space="preserve">ADR-01</w:t>
            </w:r>
          </w:p>
        </w:tc>
        <w:tc>
          <w:tcPr/>
          <w:p>
            <w:pPr>
              <w:pStyle w:val="Compact"/>
            </w:pPr>
            <w:r>
              <w:rPr>
                <w:b/>
                <w:bCs/>
              </w:rPr>
              <w:t xml:space="preserve">Modularer Monolith statt Microservices</w:t>
            </w:r>
          </w:p>
        </w:tc>
        <w:tc>
          <w:tcPr/>
          <w:p>
            <w:pPr>
              <w:pStyle w:val="Compact"/>
            </w:pPr>
            <w:r>
              <w:t xml:space="preserve">Die Applikation ist in V1 klein und wird von einem kleinen Team entwickelt. Die Komplexität von Microservices (Service Discovery, verteilte Transaktionen, Netzwerk-Overhead) ist nicht gerechtfertigt. Die interne Modularisierung als Gradle Multi-Module-Projekt erzwingt klare Modulgrenzen auf Compile-Ebene und erleichtert die spätere Extraktion einzelner Module als eigenständige Microservices.</w:t>
            </w:r>
          </w:p>
        </w:tc>
        <w:tc>
          <w:tcPr/>
          <w:p>
            <w:pPr>
              <w:pStyle w:val="Compact"/>
            </w:pPr>
            <w:r>
              <w:t xml:space="preserve">Akzeptiert</w:t>
            </w:r>
          </w:p>
        </w:tc>
      </w:tr>
      <w:tr>
        <w:tc>
          <w:tcPr/>
          <w:p>
            <w:pPr>
              <w:pStyle w:val="Compact"/>
            </w:pPr>
            <w:r>
              <w:t xml:space="preserve">ADR-02</w:t>
            </w:r>
          </w:p>
        </w:tc>
        <w:tc>
          <w:tcPr/>
          <w:p>
            <w:pPr>
              <w:pStyle w:val="Compact"/>
            </w:pPr>
            <w:r>
              <w:rPr>
                <w:b/>
                <w:bCs/>
              </w:rPr>
              <w:t xml:space="preserve">Frontend und Backend in separaten Docker Containern</w:t>
            </w:r>
          </w:p>
        </w:tc>
        <w:tc>
          <w:tcPr/>
          <w:p>
            <w:pPr>
              <w:pStyle w:val="Compact"/>
            </w:pPr>
            <w:r>
              <w:t xml:space="preserve">Frontend (Angular, via Nginx) und Backend (Spring Boot) laufen in eigenständigen Containern. Nginx übernimmt das Ausliefern der statischen Angular-Artefakte und proxied</w:t>
            </w:r>
            <w:r>
              <w:t xml:space="preserve"> </w:t>
            </w:r>
            <w:r>
              <w:rPr>
                <w:rStyle w:val="VerbatimChar"/>
              </w:rPr>
              <w:t xml:space="preserve">/api/</w:t>
            </w:r>
            <w:r>
              <w:t xml:space="preserve">-Requests an den Backend-Container. Diese Trennung vereinfacht unabhängige Skalierung, ermöglicht saubere Separation of Concerns und entspricht dem üblichen Deployment-Muster für SPA + REST-Backend.</w:t>
            </w:r>
          </w:p>
        </w:tc>
        <w:tc>
          <w:tcPr/>
          <w:p>
            <w:pPr>
              <w:pStyle w:val="Compact"/>
            </w:pPr>
            <w:r>
              <w:t xml:space="preserve">Akzeptiert</w:t>
            </w:r>
          </w:p>
        </w:tc>
      </w:tr>
      <w:tr>
        <w:tc>
          <w:tcPr/>
          <w:p>
            <w:pPr>
              <w:pStyle w:val="Compact"/>
            </w:pPr>
            <w:r>
              <w:t xml:space="preserve">ADR-03</w:t>
            </w:r>
          </w:p>
        </w:tc>
        <w:tc>
          <w:tcPr/>
          <w:p>
            <w:pPr>
              <w:pStyle w:val="Compact"/>
            </w:pPr>
            <w:r>
              <w:rPr>
                <w:b/>
                <w:bCs/>
              </w:rPr>
              <w:t xml:space="preserve">Keycloak als Identity Provider</w:t>
            </w:r>
          </w:p>
        </w:tc>
        <w:tc>
          <w:tcPr/>
          <w:p>
            <w:pPr>
              <w:pStyle w:val="Compact"/>
            </w:pPr>
            <w:r>
              <w:t xml:space="preserve">Keycloak ist der De-facto-Standard für OIDC/OAuth2 und bietet out-of-the-box Support für User-Management, Rollen, federated IDPs und Self-Service-Registrierung.</w:t>
            </w:r>
          </w:p>
        </w:tc>
        <w:tc>
          <w:tcPr/>
          <w:p>
            <w:pPr>
              <w:pStyle w:val="Compact"/>
            </w:pPr>
            <w:r>
              <w:t xml:space="preserve">Akzeptiert</w:t>
            </w:r>
          </w:p>
        </w:tc>
      </w:tr>
      <w:tr>
        <w:tc>
          <w:tcPr/>
          <w:p>
            <w:pPr>
              <w:pStyle w:val="Compact"/>
            </w:pPr>
            <w:r>
              <w:t xml:space="preserve">ADR-04</w:t>
            </w:r>
          </w:p>
        </w:tc>
        <w:tc>
          <w:tcPr/>
          <w:p>
            <w:pPr>
              <w:pStyle w:val="Compact"/>
            </w:pPr>
            <w:r>
              <w:rPr>
                <w:b/>
                <w:bCs/>
              </w:rPr>
              <w:t xml:space="preserve">PostgreSQL als Datenbank</w:t>
            </w:r>
          </w:p>
        </w:tc>
        <w:tc>
          <w:tcPr/>
          <w:p>
            <w:pPr>
              <w:pStyle w:val="Compact"/>
            </w:pPr>
            <w:r>
              <w:t xml:space="preserve">Bewährte relationale Datenbank mit guter Spring-Integration. Das Datenmodell ist klar relational (Player, Match, Set, Point, Stats). Kein Bedarf für NoSQL.</w:t>
            </w:r>
          </w:p>
        </w:tc>
        <w:tc>
          <w:tcPr/>
          <w:p>
            <w:pPr>
              <w:pStyle w:val="Compact"/>
            </w:pPr>
            <w:r>
              <w:t xml:space="preserve">Akzeptiert</w:t>
            </w:r>
          </w:p>
        </w:tc>
      </w:tr>
      <w:tr>
        <w:tc>
          <w:tcPr/>
          <w:p>
            <w:pPr>
              <w:pStyle w:val="Compact"/>
            </w:pPr>
            <w:r>
              <w:t xml:space="preserve">ADR-05</w:t>
            </w:r>
          </w:p>
        </w:tc>
        <w:tc>
          <w:tcPr/>
          <w:p>
            <w:pPr>
              <w:pStyle w:val="Compact"/>
            </w:pPr>
            <w:r>
              <w:rPr>
                <w:b/>
                <w:bCs/>
              </w:rPr>
              <w:t xml:space="preserve">REST API als Schnittstellenformat</w:t>
            </w:r>
          </w:p>
        </w:tc>
        <w:tc>
          <w:tcPr/>
          <w:p>
            <w:pPr>
              <w:pStyle w:val="Compact"/>
            </w:pPr>
            <w:r>
              <w:t xml:space="preserve">JSON/REST ist Standard für Web-Applikationen, gut tooling-unterstützt und einfach zu dokumentieren (OpenAPI/Swagger). GraphQL wäre eine Alternative, erhöht aber die Komplexität unnötig.</w:t>
            </w:r>
          </w:p>
        </w:tc>
        <w:tc>
          <w:tcPr/>
          <w:p>
            <w:pPr>
              <w:pStyle w:val="Compact"/>
            </w:pPr>
            <w:r>
              <w:t xml:space="preserve">Akzeptiert</w:t>
            </w:r>
          </w:p>
        </w:tc>
      </w:tr>
      <w:tr>
        <w:tc>
          <w:tcPr/>
          <w:p>
            <w:pPr>
              <w:pStyle w:val="Compact"/>
            </w:pPr>
            <w:r>
              <w:t xml:space="preserve">ADR-06</w:t>
            </w:r>
          </w:p>
        </w:tc>
        <w:tc>
          <w:tcPr/>
          <w:p>
            <w:pPr>
              <w:pStyle w:val="Compact"/>
            </w:pPr>
            <w:r>
              <w:rPr>
                <w:b/>
                <w:bCs/>
              </w:rPr>
              <w:t xml:space="preserve">Flyway statt Liquibase für DB-Migrationen</w:t>
            </w:r>
          </w:p>
        </w:tc>
        <w:tc>
          <w:tcPr/>
          <w:p>
            <w:pPr>
              <w:pStyle w:val="Compact"/>
            </w:pPr>
            <w:r>
              <w:t xml:space="preserve">TSaS betreibt eine einzelne PostgreSQL-Instanz mit einem überschaubaren, stabilen relationalen Datenmodell (6 Kernentitäten). Flyway deckt diesen Anwendungsfall vollständig ab: Migrationen werden als plain SQL-Dateien versioniert, sind direkt lesbar und ohne XML/YAML-Overhead. Die erweiterte Flexibilität von Liquibase (Datenbank-agnostische Changelogs, Rollback-Skripte, Diff-Tooling) ist für dieses Projekt nicht erforderlich, da ein Datenbankwechsel nicht geplant ist und Rollbacks über Datenbankbackups abgedeckt werden. Flyway ist zudem out-of-the-box in Spring Boot integriert (Auto-Configuration) und erfordert keine zusätzliche Konfiguration.</w:t>
            </w:r>
            <w:r>
              <w:t xml:space="preserve"> </w:t>
            </w:r>
            <w:r>
              <w:rPr>
                <w:b/>
                <w:bCs/>
              </w:rPr>
              <w:t xml:space="preserve">Implementierung:</w:t>
            </w:r>
            <w:r>
              <w:t xml:space="preserve"> </w:t>
            </w:r>
            <w:r>
              <w:t xml:space="preserve">Flyway-Dependency im</w:t>
            </w:r>
            <w:r>
              <w:t xml:space="preserve"> </w:t>
            </w:r>
            <w:r>
              <w:rPr>
                <w:rStyle w:val="VerbatimChar"/>
              </w:rPr>
              <w:t xml:space="preserve">app</w:t>
            </w:r>
            <w:r>
              <w:t xml:space="preserve">-Modul, Skripte unter</w:t>
            </w:r>
            <w:r>
              <w:t xml:space="preserve"> </w:t>
            </w:r>
            <w:r>
              <w:rPr>
                <w:rStyle w:val="VerbatimChar"/>
              </w:rPr>
              <w:t xml:space="preserve">db/migration/</w:t>
            </w:r>
            <w:r>
              <w:t xml:space="preserve">, Baseline</w:t>
            </w:r>
            <w:r>
              <w:t xml:space="preserve"> </w:t>
            </w:r>
            <w:r>
              <w:rPr>
                <w:rStyle w:val="VerbatimChar"/>
              </w:rPr>
              <w:t xml:space="preserve">V1__baseline.sql</w:t>
            </w:r>
            <w:r>
              <w:t xml:space="preserve"> </w:t>
            </w:r>
            <w:r>
              <w:t xml:space="preserve">repräsentiert das bei Einführung von Flyway bestehende Schema.</w:t>
            </w:r>
          </w:p>
        </w:tc>
        <w:tc>
          <w:tcPr/>
          <w:p>
            <w:pPr>
              <w:pStyle w:val="Compact"/>
            </w:pPr>
            <w:r>
              <w:t xml:space="preserve">Akzeptiert</w:t>
            </w:r>
          </w:p>
        </w:tc>
      </w:tr>
      <w:tr>
        <w:tc>
          <w:tcPr/>
          <w:p>
            <w:pPr>
              <w:pStyle w:val="Compact"/>
            </w:pPr>
            <w:r>
              <w:t xml:space="preserve">ADR-08</w:t>
            </w:r>
          </w:p>
        </w:tc>
        <w:tc>
          <w:tcPr/>
          <w:p>
            <w:pPr>
              <w:pStyle w:val="Compact"/>
            </w:pPr>
            <w:r>
              <w:rPr>
                <w:b/>
                <w:bCs/>
              </w:rPr>
              <w:t xml:space="preserve">Angular Material + ngx-charts als UI-Framework</w:t>
            </w:r>
          </w:p>
        </w:tc>
        <w:tc>
          <w:tcPr/>
          <w:p>
            <w:pPr>
              <w:pStyle w:val="Compact"/>
            </w:pPr>
            <w:r>
              <w:t xml:space="preserve">Die primären Nutzer (Coaches, Eltern) verwenden die App während eines Matches auf Tablet oder Smartphone. Angular Material erfüllt die daraus resultierenden Anforderungen out-of-the-box: touch-optimierte Komponenten, responsive Layouts und grosse interaktive Elemente für schnelle Punkterfassung. Als offizielle Google-Library ist Angular Material eng mit Angular verzahnt, gut dokumentiert und kostenlos. Für die Statistik-Darstellung (FA-08) wird ngx-charts ergänzt, das nahtlos mit Angular Material harmoniert und ebenfalls kostenfrei ist. Die evaluierte Alternative PrimeNG bietet mehr Komponenten, ist aber schwerer, erfordert mehr Konfiguration und wäre für V1 Over-Engineering.</w:t>
            </w:r>
          </w:p>
        </w:tc>
        <w:tc>
          <w:tcPr/>
          <w:p>
            <w:pPr>
              <w:pStyle w:val="Compact"/>
            </w:pPr>
            <w:r>
              <w:t xml:space="preserve">Akzeptiert</w:t>
            </w:r>
          </w:p>
        </w:tc>
      </w:tr>
      <w:tr>
        <w:tc>
          <w:tcPr/>
          <w:p>
            <w:pPr>
              <w:pStyle w:val="Compact"/>
            </w:pPr>
            <w:r>
              <w:t xml:space="preserve">ADR-09</w:t>
            </w:r>
          </w:p>
        </w:tc>
        <w:tc>
          <w:tcPr/>
          <w:p>
            <w:pPr>
              <w:pStyle w:val="Compact"/>
            </w:pPr>
            <w:r>
              <w:rPr>
                <w:rStyle w:val="VerbatimChar"/>
                <w:b/>
                <w:bCs/>
              </w:rPr>
              <w:t xml:space="preserve">angular-oauth2-oidc</w:t>
            </w:r>
            <w:r>
              <w:rPr>
                <w:b/>
                <w:bCs/>
              </w:rPr>
              <w:t xml:space="preserve"> </w:t>
            </w:r>
            <w:r>
              <w:rPr>
                <w:b/>
                <w:bCs/>
              </w:rPr>
              <w:t xml:space="preserve">statt</w:t>
            </w:r>
            <w:r>
              <w:rPr>
                <w:b/>
                <w:bCs/>
              </w:rPr>
              <w:t xml:space="preserve"> </w:t>
            </w:r>
            <w:r>
              <w:rPr>
                <w:rStyle w:val="VerbatimChar"/>
                <w:b/>
                <w:bCs/>
              </w:rPr>
              <w:t xml:space="preserve">keycloak-angular</w:t>
            </w:r>
            <w:r>
              <w:rPr>
                <w:b/>
                <w:bCs/>
              </w:rPr>
              <w:t xml:space="preserve"> </w:t>
            </w:r>
            <w:r>
              <w:rPr>
                <w:b/>
                <w:bCs/>
              </w:rPr>
              <w:t xml:space="preserve">als Frontend OIDC-Library</w:t>
            </w:r>
          </w:p>
        </w:tc>
        <w:tc>
          <w:tcPr/>
          <w:p>
            <w:pPr>
              <w:pStyle w:val="Compact"/>
            </w:pPr>
            <w:r>
              <w:t xml:space="preserve">Für den Authorization Code + PKCE Flow im Angular-Frontend wurde</w:t>
            </w:r>
            <w:r>
              <w:t xml:space="preserve"> </w:t>
            </w:r>
            <w:r>
              <w:rPr>
                <w:rStyle w:val="VerbatimChar"/>
              </w:rPr>
              <w:t xml:space="preserve">angular-oauth2-oidc</w:t>
            </w:r>
            <w:r>
              <w:t xml:space="preserve"> </w:t>
            </w:r>
            <w:r>
              <w:t xml:space="preserve">gegenüber</w:t>
            </w:r>
            <w:r>
              <w:t xml:space="preserve"> </w:t>
            </w:r>
            <w:r>
              <w:rPr>
                <w:rStyle w:val="VerbatimChar"/>
              </w:rPr>
              <w:t xml:space="preserve">keycloak-angular</w:t>
            </w:r>
            <w:r>
              <w:t xml:space="preserve"> </w:t>
            </w:r>
            <w:r>
              <w:t xml:space="preserve">(keycloak-js Wrapper) bevorzugt. Gründe: (1)</w:t>
            </w:r>
            <w:r>
              <w:t xml:space="preserve"> </w:t>
            </w:r>
            <w:r>
              <w:rPr>
                <w:rStyle w:val="VerbatimChar"/>
              </w:rPr>
              <w:t xml:space="preserve">angular-oauth2-oidc</w:t>
            </w:r>
            <w:r>
              <w:t xml:space="preserve"> </w:t>
            </w:r>
            <w:r>
              <w:t xml:space="preserve">ist eine generische, standard-konforme OIDC-Library — kein Keycloak-spezifisches Coupling im Frontend-Code. Bei einem zukünftigen IDP-Wechsel (z.B. Auth0, Okta) muss nur die Konfiguration angepasst werden, nicht der Code. (2) Die Library ist schlanker und hat keine Abhängigkeit auf</w:t>
            </w:r>
            <w:r>
              <w:t xml:space="preserve"> </w:t>
            </w:r>
            <w:r>
              <w:rPr>
                <w:rStyle w:val="VerbatimChar"/>
              </w:rPr>
              <w:t xml:space="preserve">keycloak-js</w:t>
            </w:r>
            <w:r>
              <w:t xml:space="preserve">, das eigene Release-Zyklen und Breaking Changes mitbringt. (3)</w:t>
            </w:r>
            <w:r>
              <w:t xml:space="preserve"> </w:t>
            </w:r>
            <w:r>
              <w:rPr>
                <w:rStyle w:val="VerbatimChar"/>
              </w:rPr>
              <w:t xml:space="preserve">angular-oauth2-oidc</w:t>
            </w:r>
            <w:r>
              <w:t xml:space="preserve"> </w:t>
            </w:r>
            <w:r>
              <w:t xml:space="preserve">unterstützt PKCE nativ und ist aktiv gepflegt.</w:t>
            </w:r>
            <w:r>
              <w:t xml:space="preserve"> </w:t>
            </w:r>
            <w:r>
              <w:rPr>
                <w:b/>
                <w:bCs/>
              </w:rPr>
              <w:t xml:space="preserve">Implementierung:</w:t>
            </w:r>
            <w:r>
              <w:t xml:space="preserve"> </w:t>
            </w:r>
            <w:r>
              <w:rPr>
                <w:rStyle w:val="VerbatimChar"/>
              </w:rPr>
              <w:t xml:space="preserve">OAuthModuleConfig</w:t>
            </w:r>
            <w:r>
              <w:t xml:space="preserve"> </w:t>
            </w:r>
            <w:r>
              <w:t xml:space="preserve">in</w:t>
            </w:r>
            <w:r>
              <w:t xml:space="preserve"> </w:t>
            </w:r>
            <w:r>
              <w:rPr>
                <w:rStyle w:val="VerbatimChar"/>
              </w:rPr>
              <w:t xml:space="preserve">core/auth/auth.config.ts</w:t>
            </w:r>
            <w:r>
              <w:t xml:space="preserve">, HTTP-Interceptor für Bearer-Token-Injection,</w:t>
            </w:r>
            <w:r>
              <w:t xml:space="preserve"> </w:t>
            </w:r>
            <w:r>
              <w:rPr>
                <w:rStyle w:val="VerbatimChar"/>
              </w:rPr>
              <w:t xml:space="preserve">CanActivateFn</w:t>
            </w:r>
            <w:r>
              <w:t xml:space="preserve"> </w:t>
            </w:r>
            <w:r>
              <w:t xml:space="preserve">Guard für alle Routes.</w:t>
            </w:r>
          </w:p>
        </w:tc>
        <w:tc>
          <w:tcPr/>
          <w:p>
            <w:pPr>
              <w:pStyle w:val="Compact"/>
            </w:pPr>
            <w:r>
              <w:t xml:space="preserve">Akzeptiert</w:t>
            </w:r>
          </w:p>
        </w:tc>
      </w:tr>
      <w:tr>
        <w:tc>
          <w:tcPr/>
          <w:p>
            <w:pPr>
              <w:pStyle w:val="Compact"/>
            </w:pPr>
            <w:r>
              <w:t xml:space="preserve">ADR-07</w:t>
            </w:r>
          </w:p>
        </w:tc>
        <w:tc>
          <w:tcPr/>
          <w:p>
            <w:pPr>
              <w:pStyle w:val="Compact"/>
            </w:pPr>
            <w:r>
              <w:rPr>
                <w:b/>
                <w:bCs/>
              </w:rPr>
              <w:t xml:space="preserve">Gradle Multi-Module statt Spring Modulith</w:t>
            </w:r>
          </w:p>
        </w:tc>
        <w:tc>
          <w:tcPr/>
          <w:p>
            <w:pPr>
              <w:pStyle w:val="Compact"/>
            </w:pPr>
            <w:r>
              <w:t xml:space="preserve">Spring Modulith wurde evaluiert, aber verworfen. Gründe: (1) Spring Modulith nutzt für die modul-übergreifende Kommunikation Application Events (Spring</w:t>
            </w:r>
            <w:r>
              <w:t xml:space="preserve"> </w:t>
            </w:r>
            <w:r>
              <w:rPr>
                <w:rStyle w:val="VerbatimChar"/>
              </w:rPr>
              <w:t xml:space="preserve">@EventListener</w:t>
            </w:r>
            <w:r>
              <w:t xml:space="preserve">/</w:t>
            </w:r>
            <w:r>
              <w:rPr>
                <w:rStyle w:val="VerbatimChar"/>
              </w:rPr>
              <w:t xml:space="preserve">ApplicationEventPublisher</w:t>
            </w:r>
            <w:r>
              <w:t xml:space="preserve">), was standardmässig zu asynchroner Kommunikation führt – eine unnötige Komplexität für einen Use-Case, der synchrone Antworten erfordert. (2) Die Kommunikation zwischen Modulen lässt sich sauberer und direkter über explizite Interfaces im Application-Layer (Ports &amp; Adapters / Clean Architecture) abbilden – ohne Framework-Magie und ohne Remote-Kommunikationssemantik für lokale Aufrufe. (3) Ein Gradle Multi-Module-Projekt erzwingt Modulgrenzen zur Compile-Zeit: unerwünschte Abhängigkeiten zwischen Modulen werden sofort als Build-Fehler sichtbar. (4) Die Gradle-Modul-Struktur erleichtert die spätere Extraktion einzelner Module als eigenständige Microservices, da jedes Modul bereits ein eigenständiges Build-Artefakt mit expliziten Abhängigkeiten darstellt.</w:t>
            </w:r>
          </w:p>
        </w:tc>
        <w:tc>
          <w:tcPr/>
          <w:p>
            <w:pPr>
              <w:pStyle w:val="Compact"/>
            </w:pPr>
            <w:r>
              <w:t xml:space="preserve">Akzeptiert</w:t>
            </w:r>
          </w:p>
        </w:tc>
      </w:tr>
      <w:tr>
        <w:tc>
          <w:tcPr/>
          <w:p>
            <w:pPr>
              <w:pStyle w:val="Compact"/>
            </w:pPr>
            <w:r>
              <w:t xml:space="preserve">ADR-11</w:t>
            </w:r>
          </w:p>
        </w:tc>
        <w:tc>
          <w:tcPr/>
          <w:p>
            <w:pPr>
              <w:pStyle w:val="Compact"/>
            </w:pPr>
            <w:r>
              <w:rPr>
                <w:b/>
                <w:bCs/>
              </w:rPr>
              <w:t xml:space="preserve">CI/CD mit GitHub Actions + aggregiertes JaCoCo-Coverage-Gate</w:t>
            </w:r>
          </w:p>
        </w:tc>
        <w:tc>
          <w:tcPr/>
          <w:p>
            <w:pPr>
              <w:pStyle w:val="Compact"/>
            </w:pPr>
            <w:r>
              <w:t xml:space="preserve">Qualitätssicherung wird automatisiert und durchgesetzt statt nur lokal empfohlen. Zwei pfad-ungefilterte Workflows (Backend, Frontend) laufen auf</w:t>
            </w:r>
            <w:r>
              <w:t xml:space="preserve"> </w:t>
            </w:r>
            <w:r>
              <w:rPr>
                <w:rStyle w:val="VerbatimChar"/>
              </w:rPr>
              <w:t xml:space="preserve">develop</w:t>
            </w:r>
            <w:r>
              <w:t xml:space="preserve">/</w:t>
            </w:r>
            <w:r>
              <w:rPr>
                <w:rStyle w:val="VerbatimChar"/>
              </w:rPr>
              <w:t xml:space="preserve">main</w:t>
            </w:r>
            <w:r>
              <w:t xml:space="preserve"> </w:t>
            </w:r>
            <w:r>
              <w:t xml:space="preserve">und sind als required status checks gesetzt. Coverage wird modulübergreifend aggregiert (die IT-Tests im</w:t>
            </w:r>
            <w:r>
              <w:t xml:space="preserve"> </w:t>
            </w:r>
            <w:r>
              <w:rPr>
                <w:rStyle w:val="VerbatimChar"/>
              </w:rPr>
              <w:t xml:space="preserve">app</w:t>
            </w:r>
            <w:r>
              <w:t xml:space="preserve">-Modul decken Klassen aller Module ab, daher würde ein per-Modul-Gate fälschlich fehlschlagen) und per Gate in</w:t>
            </w:r>
            <w:r>
              <w:t xml:space="preserve"> </w:t>
            </w:r>
            <w:r>
              <w:rPr>
                <w:rStyle w:val="VerbatimChar"/>
              </w:rPr>
              <w:t xml:space="preserve">check</w:t>
            </w:r>
            <w:r>
              <w:t xml:space="preserve"> </w:t>
            </w:r>
            <w:r>
              <w:t xml:space="preserve">erzwungen (85 % Line / 70 % Branch). Schwellen-Begründung: knapp unter dem Ist-Stand (~95 %/~80 %) → fängt Regressionen, ohne bei kleinen Schwankungen zu brechen. Pfadfilter wurden entfernt, weil ein required, aber nicht ausgelöster Check den Merge dauerhaft blockiert.</w:t>
            </w:r>
            <w:r>
              <w:t xml:space="preserve"> </w:t>
            </w:r>
            <w:r>
              <w:rPr>
                <w:rStyle w:val="VerbatimChar"/>
              </w:rPr>
              <w:t xml:space="preserve">enforce_admins=false</w:t>
            </w:r>
            <w:r>
              <w:t xml:space="preserve">, damit Admins im Notfall überstimmen können.</w:t>
            </w:r>
            <w:r>
              <w:t xml:space="preserve"> </w:t>
            </w:r>
            <w:r>
              <w:rPr>
                <w:b/>
                <w:bCs/>
              </w:rPr>
              <w:t xml:space="preserve">Implementierung:</w:t>
            </w:r>
            <w:r>
              <w:t xml:space="preserve"> </w:t>
            </w:r>
            <w:r>
              <w:rPr>
                <w:rStyle w:val="VerbatimChar"/>
              </w:rPr>
              <w:t xml:space="preserve">.github/workflows/backend-ci.yml</w:t>
            </w:r>
            <w:r>
              <w:t xml:space="preserve">,</w:t>
            </w:r>
            <w:r>
              <w:t xml:space="preserve"> </w:t>
            </w:r>
            <w:r>
              <w:rPr>
                <w:rStyle w:val="VerbatimChar"/>
              </w:rPr>
              <w:t xml:space="preserve">.github/workflows/frontend-ci.yml</w:t>
            </w:r>
            <w:r>
              <w:t xml:space="preserve">; Root-Tasks</w:t>
            </w:r>
            <w:r>
              <w:t xml:space="preserve"> </w:t>
            </w:r>
            <w:r>
              <w:rPr>
                <w:rStyle w:val="VerbatimChar"/>
              </w:rPr>
              <w:t xml:space="preserve">jacocoRootReport</w:t>
            </w:r>
            <w:r>
              <w:t xml:space="preserve">/</w:t>
            </w:r>
            <w:r>
              <w:rPr>
                <w:rStyle w:val="VerbatimChar"/>
              </w:rPr>
              <w:t xml:space="preserve">jacocoRootCoverageVerification</w:t>
            </w:r>
            <w:r>
              <w:t xml:space="preserve"> </w:t>
            </w:r>
            <w:r>
              <w:t xml:space="preserve">in</w:t>
            </w:r>
            <w:r>
              <w:t xml:space="preserve"> </w:t>
            </w:r>
            <w:r>
              <w:rPr>
                <w:rStyle w:val="VerbatimChar"/>
              </w:rPr>
              <w:t xml:space="preserve">backend/build.gradle.kts</w:t>
            </w:r>
            <w:r>
              <w:t xml:space="preserve">.</w:t>
            </w:r>
          </w:p>
        </w:tc>
        <w:tc>
          <w:tcPr/>
          <w:p>
            <w:pPr>
              <w:pStyle w:val="Compact"/>
            </w:pPr>
            <w:r>
              <w:t xml:space="preserve">Akzeptiert</w:t>
            </w:r>
          </w:p>
        </w:tc>
      </w:tr>
      <w:tr>
        <w:tc>
          <w:tcPr/>
          <w:p>
            <w:pPr>
              <w:pStyle w:val="Compact"/>
            </w:pPr>
            <w:r>
              <w:t xml:space="preserve">ADR-10</w:t>
            </w:r>
          </w:p>
        </w:tc>
        <w:tc>
          <w:tcPr/>
          <w:p>
            <w:pPr>
              <w:pStyle w:val="Compact"/>
            </w:pPr>
            <w:r>
              <w:rPr>
                <w:b/>
                <w:bCs/>
              </w:rPr>
              <w:t xml:space="preserve">Spring AI mit OpenAI als initialer LLM-Provider; Provider-Abstraktion via</w:t>
            </w:r>
            <w:r>
              <w:rPr>
                <w:b/>
                <w:bCs/>
              </w:rPr>
              <w:t xml:space="preserve"> </w:t>
            </w:r>
            <w:r>
              <w:rPr>
                <w:rStyle w:val="VerbatimChar"/>
                <w:b/>
                <w:bCs/>
              </w:rPr>
              <w:t xml:space="preserve">LlmClientPort</w:t>
            </w:r>
          </w:p>
        </w:tc>
        <w:tc>
          <w:tcPr/>
          <w:p>
            <w:pPr>
              <w:pStyle w:val="Compact"/>
            </w:pPr>
            <w:r>
              <w:t xml:space="preserve">Für die KI-gestützte Match-Analyse (V1.x Postmortem, V2 Live-Coaching + Vorbereitung) wurde Spring AI 2.0.x mit dem OpenAI-Starter gewählt. Gründe: (1) Spring AI 2.x ist Boot-4-kompatibel und liefert mit</w:t>
            </w:r>
            <w:r>
              <w:t xml:space="preserve"> </w:t>
            </w:r>
            <w:r>
              <w:rPr>
                <w:rStyle w:val="VerbatimChar"/>
              </w:rPr>
              <w:t xml:space="preserve">ChatClient.entity(Class)</w:t>
            </w:r>
            <w:r>
              <w:t xml:space="preserve"> </w:t>
            </w:r>
            <w:r>
              <w:t xml:space="preserve">strukturierten JSON-Output via BeanOutputConverter — kein fragiler String-Parser. (2) OpenAI als initialer Provider (Default</w:t>
            </w:r>
            <w:r>
              <w:t xml:space="preserve"> </w:t>
            </w:r>
            <w:r>
              <w:rPr>
                <w:rStyle w:val="VerbatimChar"/>
              </w:rPr>
              <w:t xml:space="preserve">gpt-4o-mini</w:t>
            </w:r>
            <w:r>
              <w:t xml:space="preserve"> </w:t>
            </w:r>
            <w:r>
              <w:t xml:space="preserve">aus Kostengründen, austauschbar via Property) wegen ausgereifter API, hoher Reasoning-Qualität und einfacher Integration. (3) Die Provider-Abstraktion erfolgt über den Out-Port</w:t>
            </w:r>
            <w:r>
              <w:t xml:space="preserve"> </w:t>
            </w:r>
            <w:r>
              <w:rPr>
                <w:rStyle w:val="VerbatimChar"/>
              </w:rPr>
              <w:t xml:space="preserve">LlmClientPort</w:t>
            </w:r>
            <w:r>
              <w:t xml:space="preserve"> </w:t>
            </w:r>
            <w:r>
              <w:t xml:space="preserve">im</w:t>
            </w:r>
            <w:r>
              <w:t xml:space="preserve"> </w:t>
            </w:r>
            <w:r>
              <w:rPr>
                <w:rStyle w:val="VerbatimChar"/>
              </w:rPr>
              <w:t xml:space="preserve">ai-module</w:t>
            </w:r>
            <w:r>
              <w:t xml:space="preserve">; ein zweiter Adapter (Anthropic, Ollama für lokales LLM) lässt sich später ohne Eingriff in den Use Case ergänzen. (4) Aktivierung des</w:t>
            </w:r>
            <w:r>
              <w:t xml:space="preserve"> </w:t>
            </w:r>
            <w:r>
              <w:rPr>
                <w:rStyle w:val="VerbatimChar"/>
              </w:rPr>
              <w:t xml:space="preserve">OpenAiLlmAdapter</w:t>
            </w:r>
            <w:r>
              <w:t xml:space="preserve"> </w:t>
            </w:r>
            <w:r>
              <w:t xml:space="preserve">per</w:t>
            </w:r>
            <w:r>
              <w:t xml:space="preserve"> </w:t>
            </w:r>
            <w:r>
              <w:rPr>
                <w:rStyle w:val="VerbatimChar"/>
              </w:rPr>
              <w:t xml:space="preserve">@ConditionalOnExpression</w:t>
            </w:r>
            <w:r>
              <w:t xml:space="preserve"> </w:t>
            </w:r>
            <w:r>
              <w:t xml:space="preserve">auf einen nicht-leeren</w:t>
            </w:r>
            <w:r>
              <w:t xml:space="preserve"> </w:t>
            </w:r>
            <w:r>
              <w:rPr>
                <w:rStyle w:val="VerbatimChar"/>
              </w:rPr>
              <w:t xml:space="preserve">spring.ai.openai.api-key</w:t>
            </w:r>
            <w:r>
              <w:t xml:space="preserve">; ohne Key übernimmt der</w:t>
            </w:r>
            <w:r>
              <w:t xml:space="preserve"> </w:t>
            </w:r>
            <w:r>
              <w:rPr>
                <w:rStyle w:val="VerbatimChar"/>
              </w:rPr>
              <w:t xml:space="preserve">FakeLlmClientAdapter</w:t>
            </w:r>
            <w:r>
              <w:t xml:space="preserve"> </w:t>
            </w:r>
            <w:r>
              <w:t xml:space="preserve">via</w:t>
            </w:r>
            <w:r>
              <w:t xml:space="preserve"> </w:t>
            </w:r>
            <w:r>
              <w:rPr>
                <w:rStyle w:val="VerbatimChar"/>
              </w:rPr>
              <w:t xml:space="preserve">@ConditionalOnMissingBean</w:t>
            </w:r>
            <w:r>
              <w:t xml:space="preserve"> </w:t>
            </w:r>
            <w:r>
              <w:t xml:space="preserve">(deterministisch, kostenfrei, geeignet für Tests und API-Key-freie Entwicklung). (5) Analyse wird einmal pro Match generiert und persistiert (1:1 zur</w:t>
            </w:r>
            <w:r>
              <w:t xml:space="preserve"> </w:t>
            </w:r>
            <w:r>
              <w:rPr>
                <w:rStyle w:val="VerbatimChar"/>
              </w:rPr>
              <w:t xml:space="preserve">matches</w:t>
            </w:r>
            <w:r>
              <w:t xml:space="preserve">-Tabelle via UNIQUE-Constraint, überschreibbar) — Kostenkontrolle und Reproduzierbarkeit.</w:t>
            </w:r>
            <w:r>
              <w:t xml:space="preserve"> </w:t>
            </w:r>
            <w:r>
              <w:rPr>
                <w:b/>
                <w:bCs/>
              </w:rPr>
              <w:t xml:space="preserve">Implementierung:</w:t>
            </w:r>
            <w:r>
              <w:t xml:space="preserve"> </w:t>
            </w:r>
            <w:r>
              <w:rPr>
                <w:rStyle w:val="VerbatimChar"/>
              </w:rPr>
              <w:t xml:space="preserve">ai-module</w:t>
            </w:r>
            <w:r>
              <w:t xml:space="preserve"> </w:t>
            </w:r>
            <w:r>
              <w:t xml:space="preserve">mit Clean Architecture (Domain</w:t>
            </w:r>
            <w:r>
              <w:t xml:space="preserve"> </w:t>
            </w:r>
            <w:r>
              <w:rPr>
                <w:rStyle w:val="VerbatimChar"/>
              </w:rPr>
              <w:t xml:space="preserve">MatchAnalysis</w:t>
            </w:r>
            <w:r>
              <w:t xml:space="preserve">, Use Cases</w:t>
            </w:r>
            <w:r>
              <w:t xml:space="preserve"> </w:t>
            </w:r>
            <w:r>
              <w:rPr>
                <w:rStyle w:val="VerbatimChar"/>
              </w:rPr>
              <w:t xml:space="preserve">GenerateMatchAnalysisUseCase</w:t>
            </w:r>
            <w:r>
              <w:t xml:space="preserve">/</w:t>
            </w:r>
            <w:r>
              <w:rPr>
                <w:rStyle w:val="VerbatimChar"/>
              </w:rPr>
              <w:t xml:space="preserve">GetMatchAnalysisUseCase</w:t>
            </w:r>
            <w:r>
              <w:t xml:space="preserve">, Out-Ports</w:t>
            </w:r>
            <w:r>
              <w:t xml:space="preserve"> </w:t>
            </w:r>
            <w:r>
              <w:rPr>
                <w:rStyle w:val="VerbatimChar"/>
              </w:rPr>
              <w:t xml:space="preserve">LlmClientPort</w:t>
            </w:r>
            <w:r>
              <w:t xml:space="preserve">/</w:t>
            </w:r>
            <w:r>
              <w:rPr>
                <w:rStyle w:val="VerbatimChar"/>
              </w:rPr>
              <w:t xml:space="preserve">SaveMatchAnalysisPort</w:t>
            </w:r>
            <w:r>
              <w:t xml:space="preserve">/</w:t>
            </w:r>
            <w:r>
              <w:rPr>
                <w:rStyle w:val="VerbatimChar"/>
              </w:rPr>
              <w:t xml:space="preserve">LoadMatchAnalysisPort</w:t>
            </w:r>
            <w:r>
              <w:t xml:space="preserve">, Adapter</w:t>
            </w:r>
            <w:r>
              <w:t xml:space="preserve"> </w:t>
            </w:r>
            <w:r>
              <w:rPr>
                <w:rStyle w:val="VerbatimChar"/>
              </w:rPr>
              <w:t xml:space="preserve">OpenAiLlmAdapter</w:t>
            </w:r>
            <w:r>
              <w:t xml:space="preserve">/</w:t>
            </w:r>
            <w:r>
              <w:rPr>
                <w:rStyle w:val="VerbatimChar"/>
              </w:rPr>
              <w:t xml:space="preserve">FakeLlmClientAdapter</w:t>
            </w:r>
            <w:r>
              <w:t xml:space="preserve">/</w:t>
            </w:r>
            <w:r>
              <w:rPr>
                <w:rStyle w:val="VerbatimChar"/>
              </w:rPr>
              <w:t xml:space="preserve">MatchAnalysisPersistenceAdapter</w:t>
            </w:r>
            <w:r>
              <w:t xml:space="preserve">). Spring-Milestone-Repo nötig (Spring AI 2.0.0-M6).</w:t>
            </w:r>
            <w:r>
              <w:t xml:space="preserve"> </w:t>
            </w:r>
            <w:r>
              <w:rPr>
                <w:b/>
                <w:bCs/>
              </w:rPr>
              <w:t xml:space="preserve">Bewusst nicht eingesetzt: RAG / Vektor-Datenbank.</w:t>
            </w:r>
            <w:r>
              <w:t xml:space="preserve"> </w:t>
            </w:r>
            <w:r>
              <w:t xml:space="preserve">Eine Embedding-basierte Retrieval-Schicht wurde geprüft und für V1.x verworfen. Begründung: (a) Der Analyse-Input ist</w:t>
            </w:r>
            <w:r>
              <w:t xml:space="preserve"> </w:t>
            </w:r>
            <w:r>
              <w:rPr>
                <w:b/>
                <w:bCs/>
              </w:rPr>
              <w:t xml:space="preserve">strukturierte Numerik</w:t>
            </w:r>
            <w:r>
              <w:t xml:space="preserve"> </w:t>
            </w:r>
            <w:r>
              <w:t xml:space="preserve">(</w:t>
            </w:r>
            <w:r>
              <w:rPr>
                <w:rStyle w:val="VerbatimChar"/>
              </w:rPr>
              <w:t xml:space="preserve">MatchStatistics</w:t>
            </w:r>
            <w:r>
              <w:t xml:space="preserve"> </w:t>
            </w:r>
            <w:r>
              <w:t xml:space="preserve">plus Spieler-Metadaten), kein Text-Korpus zum Retrieval. (b) Pro Match liegen wenige Dutzend Felder vor, die problemlos in einen einzelnen Prompt-Context passen — kein Token-Budget-Druck. (c) Eine Vektor-DB wäre Over-Engineering ohne ableitbaren Qualitätsgewinn und würde zusätzliche Infrastruktur (z. B. pgvector-Extension, Embedding-Pipeline) einführen. Für V2 (KI-Vorbereitung auf einen Gegner mit Head-to-Head-Kontext über N Matches) wird diese Entscheidung neu bewertet.</w:t>
            </w:r>
          </w:p>
        </w:tc>
        <w:tc>
          <w:tcPr/>
          <w:p>
            <w:pPr>
              <w:pStyle w:val="Compact"/>
            </w:pPr>
            <w:r>
              <w:t xml:space="preserve">Akzeptiert</w:t>
            </w:r>
          </w:p>
        </w:tc>
      </w:tr>
      <w:tr>
        <w:tc>
          <w:tcPr/>
          <w:p>
            <w:pPr>
              <w:pStyle w:val="Compact"/>
            </w:pPr>
            <w:r>
              <w:t xml:space="preserve">ADR-12</w:t>
            </w:r>
          </w:p>
        </w:tc>
        <w:tc>
          <w:tcPr/>
          <w:p>
            <w:pPr>
              <w:pStyle w:val="Compact"/>
            </w:pPr>
            <w:r>
              <w:rPr>
                <w:b/>
                <w:bCs/>
              </w:rPr>
              <w:t xml:space="preserve">Scoring im</w:t>
            </w:r>
            <w:r>
              <w:rPr>
                <w:b/>
                <w:bCs/>
              </w:rPr>
              <w:t xml:space="preserve"> </w:t>
            </w:r>
            <w:r>
              <w:rPr>
                <w:rStyle w:val="VerbatimChar"/>
                <w:b/>
                <w:bCs/>
              </w:rPr>
              <w:t xml:space="preserve">match-module</w:t>
            </w:r>
            <w:r>
              <w:rPr>
                <w:b/>
                <w:bCs/>
              </w:rPr>
              <w:t xml:space="preserve"> </w:t>
            </w:r>
            <w:r>
              <w:rPr>
                <w:b/>
                <w:bCs/>
              </w:rPr>
              <w:t xml:space="preserve">statt eigenständigem</w:t>
            </w:r>
            <w:r>
              <w:rPr>
                <w:b/>
                <w:bCs/>
              </w:rPr>
              <w:t xml:space="preserve"> </w:t>
            </w:r>
            <w:r>
              <w:rPr>
                <w:rStyle w:val="VerbatimChar"/>
                <w:b/>
                <w:bCs/>
              </w:rPr>
              <w:t xml:space="preserve">scoring-module</w:t>
            </w:r>
          </w:p>
        </w:tc>
        <w:tc>
          <w:tcPr/>
          <w:p>
            <w:pPr>
              <w:pStyle w:val="Compact"/>
            </w:pPr>
            <w:r>
              <w:t xml:space="preserve">Die frühe Bausteinskizze sah ein separates</w:t>
            </w:r>
            <w:r>
              <w:t xml:space="preserve"> </w:t>
            </w:r>
            <w:r>
              <w:rPr>
                <w:rStyle w:val="VerbatimChar"/>
              </w:rPr>
              <w:t xml:space="preserve">scoring-module</w:t>
            </w:r>
            <w:r>
              <w:t xml:space="preserve"> </w:t>
            </w:r>
            <w:r>
              <w:t xml:space="preserve">vor. Bei der Umsetzung wurde Scoring stattdessen im</w:t>
            </w:r>
            <w:r>
              <w:t xml:space="preserve"> </w:t>
            </w:r>
            <w:r>
              <w:rPr>
                <w:rStyle w:val="VerbatimChar"/>
              </w:rPr>
              <w:t xml:space="preserve">match-module</w:t>
            </w:r>
            <w:r>
              <w:t xml:space="preserve"> </w:t>
            </w:r>
            <w:r>
              <w:t xml:space="preserve">realisiert (</w:t>
            </w:r>
            <w:r>
              <w:rPr>
                <w:rStyle w:val="VerbatimChar"/>
              </w:rPr>
              <w:t xml:space="preserve">ScoringService</w:t>
            </w:r>
            <w:r>
              <w:t xml:space="preserve">,</w:t>
            </w:r>
            <w:r>
              <w:t xml:space="preserve"> </w:t>
            </w:r>
            <w:r>
              <w:rPr>
                <w:rStyle w:val="VerbatimChar"/>
              </w:rPr>
              <w:t xml:space="preserve">MatchScore</w:t>
            </w:r>
            <w:r>
              <w:t xml:space="preserve">,</w:t>
            </w:r>
            <w:r>
              <w:t xml:space="preserve"> </w:t>
            </w:r>
            <w:r>
              <w:rPr>
                <w:rStyle w:val="VerbatimChar"/>
              </w:rPr>
              <w:t xml:space="preserve">Point</w:t>
            </w:r>
            <w:r>
              <w:t xml:space="preserve">). Gründe: (1) Das Erfassen und Zählen von Punkten ist das</w:t>
            </w:r>
            <w:r>
              <w:t xml:space="preserve"> </w:t>
            </w:r>
            <w:r>
              <w:rPr>
                <w:b/>
                <w:bCs/>
              </w:rPr>
              <w:t xml:space="preserve">Kernverhalten</w:t>
            </w:r>
            <w:r>
              <w:t xml:space="preserve"> </w:t>
            </w:r>
            <w:r>
              <w:t xml:space="preserve">eines Matches und operiert untrennbar auf dessen Zustand (Status, Sätze, Spiele) — eine Modulgrenze dazwischen hätte einen ständigen, fein granularen Hin-und-Her-Verkehr über Ports erzwungen, ohne fachlichen Mehrwert. (2) Ein eigenes Gradle-Modul rechtfertigt sich erst bei eigenständig wiederverwendbarer Verantwortung; Scoring ohne Match ist nicht sinnvoll. (3) Die Konsolidierung reduziert Kopplung und Boilerplate. Eine spätere Extraktion bleibt möglich, da Scoring intern als eigene Klasse (</w:t>
            </w:r>
            <w:r>
              <w:rPr>
                <w:rStyle w:val="VerbatimChar"/>
              </w:rPr>
              <w:t xml:space="preserve">ScoringService</w:t>
            </w:r>
            <w:r>
              <w:t xml:space="preserve">) gekapselt ist.</w:t>
            </w:r>
          </w:p>
        </w:tc>
        <w:tc>
          <w:tcPr/>
          <w:p>
            <w:pPr>
              <w:pStyle w:val="Compact"/>
            </w:pPr>
            <w:r>
              <w:t xml:space="preserve">Akzeptiert</w:t>
            </w:r>
          </w:p>
        </w:tc>
      </w:tr>
      <w:tr>
        <w:tc>
          <w:tcPr/>
          <w:p>
            <w:pPr>
              <w:pStyle w:val="Compact"/>
            </w:pPr>
            <w:r>
              <w:t xml:space="preserve">ADR-13</w:t>
            </w:r>
          </w:p>
        </w:tc>
        <w:tc>
          <w:tcPr/>
          <w:p>
            <w:pPr>
              <w:pStyle w:val="Compact"/>
            </w:pPr>
            <w:r>
              <w:rPr>
                <w:b/>
                <w:bCs/>
              </w:rPr>
              <w:t xml:space="preserve">Gemeinsames lesendes Domänenmodell statt DTO-Mapping an jeder Modulgrenze</w:t>
            </w:r>
          </w:p>
        </w:tc>
        <w:tc>
          <w:tcPr/>
          <w:p>
            <w:pPr>
              <w:pStyle w:val="Compact"/>
            </w:pPr>
            <w:r>
              <w:t xml:space="preserve">Module rufen fremdes</w:t>
            </w:r>
            <w:r>
              <w:t xml:space="preserve"> </w:t>
            </w:r>
            <w:r>
              <w:rPr>
                <w:b/>
                <w:bCs/>
              </w:rPr>
              <w:t xml:space="preserve">Verhalten</w:t>
            </w:r>
            <w:r>
              <w:t xml:space="preserve"> </w:t>
            </w:r>
            <w:r>
              <w:t xml:space="preserve">nur über Application-Layer-Ports auf (RB-T06), verwenden aber stabile</w:t>
            </w:r>
            <w:r>
              <w:t xml:space="preserve"> </w:t>
            </w:r>
            <w:r>
              <w:rPr>
                <w:b/>
                <w:bCs/>
              </w:rPr>
              <w:t xml:space="preserve">Domänen-Wertobjekte</w:t>
            </w:r>
            <w:r>
              <w:t xml:space="preserve"> </w:t>
            </w:r>
            <w:r>
              <w:t xml:space="preserve">anderer Module direkt als gemeinsames Read-Model (z. B. liest</w:t>
            </w:r>
            <w:r>
              <w:t xml:space="preserve"> </w:t>
            </w:r>
            <w:r>
              <w:rPr>
                <w:rStyle w:val="VerbatimChar"/>
              </w:rPr>
              <w:t xml:space="preserve">statistics-module</w:t>
            </w:r>
            <w:r>
              <w:t xml:space="preserve"> </w:t>
            </w:r>
            <w:r>
              <w:rPr>
                <w:rStyle w:val="VerbatimChar"/>
              </w:rPr>
              <w:t xml:space="preserve">match</w:t>
            </w:r>
            <w:r>
              <w:t xml:space="preserve">-</w:t>
            </w:r>
            <w:r>
              <w:rPr>
                <w:rStyle w:val="VerbatimChar"/>
              </w:rPr>
              <w:t xml:space="preserve">Point</w:t>
            </w:r>
            <w:r>
              <w:t xml:space="preserve">s,</w:t>
            </w:r>
            <w:r>
              <w:t xml:space="preserve"> </w:t>
            </w:r>
            <w:r>
              <w:rPr>
                <w:rStyle w:val="VerbatimChar"/>
              </w:rPr>
              <w:t xml:space="preserve">ai-module</w:t>
            </w:r>
            <w:r>
              <w:t xml:space="preserve"> </w:t>
            </w:r>
            <w:r>
              <w:rPr>
                <w:rStyle w:val="VerbatimChar"/>
              </w:rPr>
              <w:t xml:space="preserve">Match</w:t>
            </w:r>
            <w:r>
              <w:t xml:space="preserve">/</w:t>
            </w:r>
            <w:r>
              <w:rPr>
                <w:rStyle w:val="VerbatimChar"/>
              </w:rPr>
              <w:t xml:space="preserve">Player</w:t>
            </w:r>
            <w:r>
              <w:t xml:space="preserve">/</w:t>
            </w:r>
            <w:r>
              <w:rPr>
                <w:rStyle w:val="VerbatimChar"/>
              </w:rPr>
              <w:t xml:space="preserve">MatchStatistics</w:t>
            </w:r>
            <w:r>
              <w:t xml:space="preserve">). Gründe: (1) Diese Typen sind framework-freie, stabile Werte ohne Verhalten; eine Anti-Corruption-Schicht mit Spiegel-DTOs an jeder Grenze wäre für einen modularen Monolithen reines Over-Engineering und würde Duplikation erzeugen. (2) Die Abhängigkeiten bleiben einwärts gerichtet und zyklenfrei (Domäne→Domäne). (3)</w:t>
            </w:r>
            <w:r>
              <w:t xml:space="preserve"> </w:t>
            </w:r>
            <w:r>
              <w:rPr>
                <w:rStyle w:val="VerbatimChar"/>
              </w:rPr>
              <w:t xml:space="preserve">ArchitectureTest</w:t>
            </w:r>
            <w:r>
              <w:t xml:space="preserve"> </w:t>
            </w:r>
            <w:r>
              <w:t xml:space="preserve">stellt sicher, dass dabei keine Schicht- oder Framework-Grenze verletzt wird. Bei einer späteren Modul-Extraktion zu Services würden diese geteilten Typen zu veröffentlichten Vertragstypen bzw. DTOs.</w:t>
            </w:r>
          </w:p>
        </w:tc>
        <w:tc>
          <w:tcPr/>
          <w:p>
            <w:pPr>
              <w:pStyle w:val="Compact"/>
            </w:pPr>
            <w:r>
              <w:t xml:space="preserve">Akzeptiert</w:t>
            </w:r>
          </w:p>
        </w:tc>
      </w:tr>
      <w:tr>
        <w:tc>
          <w:tcPr/>
          <w:p>
            <w:pPr>
              <w:pStyle w:val="Compact"/>
            </w:pPr>
            <w:r>
              <w:t xml:space="preserve">ADR-14</w:t>
            </w:r>
          </w:p>
        </w:tc>
        <w:tc>
          <w:tcPr/>
          <w:p>
            <w:pPr>
              <w:pStyle w:val="Compact"/>
            </w:pPr>
            <w:r>
              <w:rPr>
                <w:b/>
                <w:bCs/>
              </w:rPr>
              <w:t xml:space="preserve">Semantic Versioning 2.0.0 + Keep a Changelog 1.1.0 als Versionierungs- und Release-Notes-Policy</w:t>
            </w:r>
          </w:p>
        </w:tc>
        <w:tc>
          <w:tcPr/>
          <w:p>
            <w:pPr>
              <w:pStyle w:val="Compact"/>
            </w:pPr>
            <w:r>
              <w:t xml:space="preserve">TSaS folgt SemVer 2.0.0 (</w:t>
            </w:r>
            <w:r>
              <w:rPr>
                <w:rStyle w:val="VerbatimChar"/>
              </w:rPr>
              <w:t xml:space="preserve">MAJOR.MINOR.PATCH</w:t>
            </w:r>
            <w:r>
              <w:t xml:space="preserve">) als Versionierungsregel und Keep a Changelog 1.1.0 für das</w:t>
            </w:r>
            <w:r>
              <w:t xml:space="preserve"> </w:t>
            </w:r>
            <w:r>
              <w:rPr>
                <w:rStyle w:val="VerbatimChar"/>
              </w:rPr>
              <w:t xml:space="preserve">CHANGELOG.md</w:t>
            </w:r>
            <w:r>
              <w:t xml:space="preserve"> </w:t>
            </w:r>
            <w:r>
              <w:t xml:space="preserve">im Repo-Root. Gründe: (1)</w:t>
            </w:r>
            <w:r>
              <w:t xml:space="preserve"> </w:t>
            </w:r>
            <w:r>
              <w:rPr>
                <w:b/>
                <w:bCs/>
              </w:rPr>
              <w:t xml:space="preserve">Branchenstandard</w:t>
            </w:r>
            <w:r>
              <w:t xml:space="preserve"> </w:t>
            </w:r>
            <w:r>
              <w:t xml:space="preserve">— beide Spezifikationen sind etabliert und im Java-/JS-Ökosystem verbreitet (npm, Gradle, Maven gehen alle von SemVer aus). (2)</w:t>
            </w:r>
            <w:r>
              <w:t xml:space="preserve"> </w:t>
            </w:r>
            <w:r>
              <w:rPr>
                <w:b/>
                <w:bCs/>
              </w:rPr>
              <w:t xml:space="preserve">Pre-1.0-Konvention</w:t>
            </w:r>
            <w:r>
              <w:t xml:space="preserve"> </w:t>
            </w:r>
            <w:r>
              <w:t xml:space="preserve">— solange</w:t>
            </w:r>
            <w:r>
              <w:t xml:space="preserve"> </w:t>
            </w:r>
            <w:r>
              <w:rPr>
                <w:rStyle w:val="VerbatimChar"/>
              </w:rPr>
              <w:t xml:space="preserve">0.x</w:t>
            </w:r>
            <w:r>
              <w:t xml:space="preserve">, gelten MINOR-Erhöhungen als potenziell breaking; das passt zum MVP-Stand, in dem Datenmodell und API noch in Bewegung sind. Erst mit</w:t>
            </w:r>
            <w:r>
              <w:t xml:space="preserve"> </w:t>
            </w:r>
            <w:r>
              <w:rPr>
                <w:rStyle w:val="VerbatimChar"/>
              </w:rPr>
              <w:t xml:space="preserve">1.0.0</w:t>
            </w:r>
            <w:r>
              <w:t xml:space="preserve"> </w:t>
            </w:r>
            <w:r>
              <w:t xml:space="preserve">(V1 freigegeben, externe Nutzer) greifen die strengen SemVer-Regeln. (3)</w:t>
            </w:r>
            <w:r>
              <w:t xml:space="preserve"> </w:t>
            </w:r>
            <w:r>
              <w:rPr>
                <w:b/>
                <w:bCs/>
              </w:rPr>
              <w:t xml:space="preserve">Keep a Changelog</w:t>
            </w:r>
            <w:r>
              <w:t xml:space="preserve"> </w:t>
            </w:r>
            <w:r>
              <w:t xml:space="preserve">als menschenlesbares Pendant zur Maschinen-Version: ein</w:t>
            </w:r>
            <w:r>
              <w:t xml:space="preserve"> </w:t>
            </w:r>
            <w:r>
              <w:rPr>
                <w:rStyle w:val="VerbatimChar"/>
              </w:rPr>
              <w:t xml:space="preserve">[Unreleased]</w:t>
            </w:r>
            <w:r>
              <w:t xml:space="preserve">-Abschnitt sammelt laufende Änderungen, beim Release wird er auf eine konkrete Version geschoben; Kategorien</w:t>
            </w:r>
            <w:r>
              <w:t xml:space="preserve"> </w:t>
            </w:r>
            <w:r>
              <w:rPr>
                <w:rStyle w:val="VerbatimChar"/>
              </w:rPr>
              <w:t xml:space="preserve">Added/Changed/Deprecated/Removed/Fixed/Security</w:t>
            </w:r>
            <w:r>
              <w:t xml:space="preserve"> </w:t>
            </w:r>
            <w:r>
              <w:t xml:space="preserve">strukturieren die Notes konsistent. (4)</w:t>
            </w:r>
            <w:r>
              <w:t xml:space="preserve"> </w:t>
            </w:r>
            <w:r>
              <w:rPr>
                <w:b/>
                <w:bCs/>
              </w:rPr>
              <w:t xml:space="preserve">Bewusst nicht automatisiert (vorerst)</w:t>
            </w:r>
            <w:r>
              <w:t xml:space="preserve"> </w:t>
            </w:r>
            <w:r>
              <w:t xml:space="preserve">— Tools wie</w:t>
            </w:r>
            <w:r>
              <w:t xml:space="preserve"> </w:t>
            </w:r>
            <w:r>
              <w:rPr>
                <w:rStyle w:val="VerbatimChar"/>
              </w:rPr>
              <w:t xml:space="preserve">release-please</w:t>
            </w:r>
            <w:r>
              <w:t xml:space="preserve"> </w:t>
            </w:r>
            <w:r>
              <w:t xml:space="preserve">oder</w:t>
            </w:r>
            <w:r>
              <w:t xml:space="preserve"> </w:t>
            </w:r>
            <w:r>
              <w:rPr>
                <w:rStyle w:val="VerbatimChar"/>
              </w:rPr>
              <w:t xml:space="preserve">semantic-release</w:t>
            </w:r>
            <w:r>
              <w:t xml:space="preserve"> </w:t>
            </w:r>
            <w:r>
              <w:t xml:space="preserve">(Conventional-Commits-getrieben) sind für ein Ein-Personen-Projekt im MVP-Stadium Over-Engineering; die manuelle Pflege ist günstig genug und wird bei wachsendem Team neu bewertet.</w:t>
            </w:r>
            <w:r>
              <w:t xml:space="preserve"> </w:t>
            </w:r>
            <w:r>
              <w:rPr>
                <w:b/>
                <w:bCs/>
              </w:rPr>
              <w:t xml:space="preserve">Implementierung:</w:t>
            </w:r>
            <w:r>
              <w:t xml:space="preserve"> </w:t>
            </w:r>
            <w:r>
              <w:rPr>
                <w:rStyle w:val="VerbatimChar"/>
              </w:rPr>
              <w:t xml:space="preserve">allprojects { group = "com.cas.tsas"; version = "0.1.0" }</w:t>
            </w:r>
            <w:r>
              <w:t xml:space="preserve"> </w:t>
            </w:r>
            <w:r>
              <w:t xml:space="preserve">in</w:t>
            </w:r>
            <w:r>
              <w:t xml:space="preserve"> </w:t>
            </w:r>
            <w:r>
              <w:rPr>
                <w:rStyle w:val="VerbatimChar"/>
              </w:rPr>
              <w:t xml:space="preserve">backend/build.gradle.kts</w:t>
            </w:r>
            <w:r>
              <w:t xml:space="preserve">,</w:t>
            </w:r>
            <w:r>
              <w:t xml:space="preserve"> </w:t>
            </w:r>
            <w:r>
              <w:rPr>
                <w:rStyle w:val="VerbatimChar"/>
              </w:rPr>
              <w:t xml:space="preserve">"version": "0.1.0"</w:t>
            </w:r>
            <w:r>
              <w:t xml:space="preserve"> </w:t>
            </w:r>
            <w:r>
              <w:t xml:space="preserve">in</w:t>
            </w:r>
            <w:r>
              <w:t xml:space="preserve"> </w:t>
            </w:r>
            <w:r>
              <w:rPr>
                <w:rStyle w:val="VerbatimChar"/>
              </w:rPr>
              <w:t xml:space="preserve">frontend/package.json</w:t>
            </w:r>
            <w:r>
              <w:t xml:space="preserve">,</w:t>
            </w:r>
            <w:r>
              <w:t xml:space="preserve"> </w:t>
            </w:r>
            <w:r>
              <w:rPr>
                <w:rStyle w:val="VerbatimChar"/>
              </w:rPr>
              <w:t xml:space="preserve">CHANGELOG.md</w:t>
            </w:r>
            <w:r>
              <w:t xml:space="preserve"> </w:t>
            </w:r>
            <w:r>
              <w:t xml:space="preserve">im Repo-Root, Git-Tags</w:t>
            </w:r>
            <w:r>
              <w:t xml:space="preserve"> </w:t>
            </w:r>
            <w:r>
              <w:rPr>
                <w:rStyle w:val="VerbatimChar"/>
              </w:rPr>
              <w:t xml:space="preserve">vX.Y.Z</w:t>
            </w:r>
            <w:r>
              <w:t xml:space="preserve"> </w:t>
            </w:r>
            <w:r>
              <w:t xml:space="preserve">auf dem Merge-Commit jeder Version.</w:t>
            </w:r>
          </w:p>
        </w:tc>
        <w:tc>
          <w:tcPr/>
          <w:p>
            <w:pPr>
              <w:pStyle w:val="Compact"/>
            </w:pPr>
            <w:r>
              <w:t xml:space="preserve">Akzeptiert</w:t>
            </w:r>
          </w:p>
        </w:tc>
      </w:tr>
    </w:tbl>
    <w:p>
      <w:r>
        <w:pict>
          <v:rect style="width:0;height:1.5pt" o:hralign="center" o:hrstd="t" o:hr="t"/>
        </w:pict>
      </w:r>
    </w:p>
    <w:bookmarkEnd w:id="71"/>
    <w:bookmarkStart w:id="74" w:name="qualitätsanforderungen"/>
    <w:p>
      <w:pPr>
        <w:pStyle w:val="Heading2"/>
      </w:pPr>
      <w:r>
        <w:t xml:space="preserve">10. Qualitätsanforderungen</w:t>
      </w:r>
    </w:p>
    <w:bookmarkStart w:id="72" w:name="funktionale-anforderungen-smart"/>
    <w:p>
      <w:pPr>
        <w:pStyle w:val="Heading3"/>
      </w:pPr>
      <w:r>
        <w:t xml:space="preserve">10.1 Funktionale Anforderungen (SMART)</w:t>
      </w:r>
    </w:p>
    <w:tbl>
      <w:tblPr>
        <w:tblStyle w:val="Table"/>
        <w:tblW w:type="pct" w:w="5000"/>
        <w:tblLayout w:type="fixed"/>
        <w:tblLook w:firstRow="1" w:lastRow="0" w:firstColumn="0" w:lastColumn="0" w:noHBand="0" w:noVBand="0" w:val="0020"/>
      </w:tblPr>
      <w:tblGrid>
        <w:gridCol w:w="704"/>
        <w:gridCol w:w="2288"/>
        <w:gridCol w:w="3344"/>
        <w:gridCol w:w="1584"/>
      </w:tblGrid>
      <w:tr>
        <w:trPr>
          <w:tblHeader w:val="on"/>
        </w:trPr>
        <w:tc>
          <w:tcPr/>
          <w:p>
            <w:pPr>
              <w:pStyle w:val="Compact"/>
            </w:pPr>
            <w:r>
              <w:t xml:space="preserve">ID</w:t>
            </w:r>
          </w:p>
        </w:tc>
        <w:tc>
          <w:tcPr/>
          <w:p>
            <w:pPr>
              <w:pStyle w:val="Compact"/>
            </w:pPr>
            <w:r>
              <w:t xml:space="preserve">Anforderung</w:t>
            </w:r>
          </w:p>
        </w:tc>
        <w:tc>
          <w:tcPr/>
          <w:p>
            <w:pPr>
              <w:pStyle w:val="Compact"/>
            </w:pPr>
            <w:r>
              <w:t xml:space="preserve">SMART-Beschreibung</w:t>
            </w:r>
          </w:p>
        </w:tc>
        <w:tc>
          <w:tcPr/>
          <w:p>
            <w:pPr>
              <w:pStyle w:val="Compact"/>
            </w:pPr>
            <w:r>
              <w:t xml:space="preserve">Version</w:t>
            </w:r>
          </w:p>
        </w:tc>
      </w:tr>
      <w:tr>
        <w:tc>
          <w:tcPr/>
          <w:p>
            <w:pPr>
              <w:pStyle w:val="Compact"/>
            </w:pPr>
            <w:r>
              <w:t xml:space="preserve">FA-01</w:t>
            </w:r>
          </w:p>
        </w:tc>
        <w:tc>
          <w:tcPr/>
          <w:p>
            <w:pPr>
              <w:pStyle w:val="Compact"/>
            </w:pPr>
            <w:r>
              <w:rPr>
                <w:b/>
                <w:bCs/>
              </w:rPr>
              <w:t xml:space="preserve">User-Registrierung</w:t>
            </w:r>
          </w:p>
        </w:tc>
        <w:tc>
          <w:tcPr/>
          <w:p>
            <w:pPr>
              <w:pStyle w:val="Compact"/>
            </w:pPr>
            <w:r>
              <w:t xml:space="preserve">Ein nicht authentifizierter Benutzer kann sich über das Keycloak Self-Service-Registrierungsformular mit den Pflichtfeldern E-Mail (gültiges RFC-5322-Format), Benutzername (3–50 Zeichen) und Passwort (mind. 8 Zeichen, mind. 1 Grossbuchstabe und 1 Ziffer) registrieren. Nach erfolgreicher Registrierung wird der Benutzer automatisch authentifiziert und innerhalb von 5 Sekunden auf die TSaS-Startseite weitergeleitet. Doppelte E-Mail-Adressen oder Benutzernamen werden mit einer spezifischen Fehlermeldung im Formular abgewiesen (HTTP 409 intern).</w:t>
            </w:r>
          </w:p>
        </w:tc>
        <w:tc>
          <w:tcPr/>
          <w:p>
            <w:pPr>
              <w:pStyle w:val="Compact"/>
            </w:pPr>
            <w:r>
              <w:t xml:space="preserve">V1</w:t>
            </w:r>
          </w:p>
        </w:tc>
      </w:tr>
      <w:tr>
        <w:tc>
          <w:tcPr/>
          <w:p>
            <w:pPr>
              <w:pStyle w:val="Compact"/>
            </w:pPr>
            <w:r>
              <w:t xml:space="preserve">FA-02</w:t>
            </w:r>
          </w:p>
        </w:tc>
        <w:tc>
          <w:tcPr/>
          <w:p>
            <w:pPr>
              <w:pStyle w:val="Compact"/>
            </w:pPr>
            <w:r>
              <w:rPr>
                <w:b/>
                <w:bCs/>
              </w:rPr>
              <w:t xml:space="preserve">Authentifizierung</w:t>
            </w:r>
          </w:p>
        </w:tc>
        <w:tc>
          <w:tcPr/>
          <w:p>
            <w:pPr>
              <w:pStyle w:val="Compact"/>
            </w:pPr>
            <w:r>
              <w:t xml:space="preserve">Ein registrierter Benutzer kann sich via OAuth2 Authorization Code Flow mit PKCE über Keycloak anmelden. Nach erfolgreicher Authentifizierung erhält der Browser ein Access Token (Gültigkeit: 15 Minuten) und ein Refresh Token (Gültigkeit: 30 Tage). Mit gültigem Access Token werden alle geschützten API-Endpunkte mit HTTP 200 beantwortet; ohne gültiges Token antworten alle Endpunkte (ausser</w:t>
            </w:r>
            <w:r>
              <w:t xml:space="preserve"> </w:t>
            </w:r>
            <w:r>
              <w:rPr>
                <w:rStyle w:val="VerbatimChar"/>
              </w:rPr>
              <w:t xml:space="preserve">/health</w:t>
            </w:r>
            <w:r>
              <w:t xml:space="preserve">) mit HTTP 401. Der gesamte Login-Flow muss unter normaler Last (≤ 100 Benutzer) innerhalb von 3 Sekunden abgeschlossen sein.</w:t>
            </w:r>
          </w:p>
        </w:tc>
        <w:tc>
          <w:tcPr/>
          <w:p>
            <w:pPr>
              <w:pStyle w:val="Compact"/>
            </w:pPr>
            <w:r>
              <w:t xml:space="preserve">V1</w:t>
            </w:r>
          </w:p>
        </w:tc>
      </w:tr>
      <w:tr>
        <w:tc>
          <w:tcPr/>
          <w:p>
            <w:pPr>
              <w:pStyle w:val="Compact"/>
            </w:pPr>
            <w:r>
              <w:t xml:space="preserve">FA-03</w:t>
            </w:r>
          </w:p>
        </w:tc>
        <w:tc>
          <w:tcPr/>
          <w:p>
            <w:pPr>
              <w:pStyle w:val="Compact"/>
            </w:pPr>
            <w:r>
              <w:rPr>
                <w:b/>
                <w:bCs/>
              </w:rPr>
              <w:t xml:space="preserve">Spieler erfassen</w:t>
            </w:r>
          </w:p>
        </w:tc>
        <w:tc>
          <w:tcPr/>
          <w:p>
            <w:pPr>
              <w:pStyle w:val="Compact"/>
            </w:pPr>
            <w:r>
              <w:t xml:space="preserve">Ein authentifizierter Benutzer kann über</w:t>
            </w:r>
            <w:r>
              <w:t xml:space="preserve"> </w:t>
            </w:r>
            <w:r>
              <w:rPr>
                <w:rStyle w:val="VerbatimChar"/>
              </w:rPr>
              <w:t xml:space="preserve">POST /api/players</w:t>
            </w:r>
            <w:r>
              <w:t xml:space="preserve"> </w:t>
            </w:r>
            <w:r>
              <w:t xml:space="preserve">einen neuen Spieler anlegen. Pflichtfelder: Vorname (max. 50 Zeichen), Nachname (max. 50 Zeichen), Geschlecht (</w:t>
            </w:r>
            <w:r>
              <w:rPr>
                <w:rStyle w:val="VerbatimChar"/>
              </w:rPr>
              <w:t xml:space="preserve">MALE</w:t>
            </w:r>
            <w:r>
              <w:t xml:space="preserve">/</w:t>
            </w:r>
            <w:r>
              <w:rPr>
                <w:rStyle w:val="VerbatimChar"/>
              </w:rPr>
              <w:t xml:space="preserve">FEMALE</w:t>
            </w:r>
            <w:r>
              <w:t xml:space="preserve">/</w:t>
            </w:r>
            <w:r>
              <w:rPr>
                <w:rStyle w:val="VerbatimChar"/>
              </w:rPr>
              <w:t xml:space="preserve">OTHER</w:t>
            </w:r>
            <w:r>
              <w:t xml:space="preserve">), Spielhand (</w:t>
            </w:r>
            <w:r>
              <w:rPr>
                <w:rStyle w:val="VerbatimChar"/>
              </w:rPr>
              <w:t xml:space="preserve">LEFT</w:t>
            </w:r>
            <w:r>
              <w:t xml:space="preserve">/</w:t>
            </w:r>
            <w:r>
              <w:rPr>
                <w:rStyle w:val="VerbatimChar"/>
              </w:rPr>
              <w:t xml:space="preserve">RIGHT</w:t>
            </w:r>
            <w:r>
              <w:t xml:space="preserve">), Backhand-Typ (</w:t>
            </w:r>
            <w:r>
              <w:rPr>
                <w:rStyle w:val="VerbatimChar"/>
              </w:rPr>
              <w:t xml:space="preserve">ONE_HANDED</w:t>
            </w:r>
            <w:r>
              <w:t xml:space="preserve">/</w:t>
            </w:r>
            <w:r>
              <w:rPr>
                <w:rStyle w:val="VerbatimChar"/>
              </w:rPr>
              <w:t xml:space="preserve">TWO_HANDED</w:t>
            </w:r>
            <w:r>
              <w:t xml:space="preserve">). Optionale Felder: Ranking (ganze Zahl &gt; 0), Nationalität (ISO 3166-1 Alpha-2, 2 Zeichen), Geburtsdatum (ISO 8601). Bei gültiger Eingabe antwortet das API mit HTTP 201 und der angelegten Spieler-Ressource inklusive generierter UUID. Fehlende Pflichtfelder oder Formatverletzungen werden mit HTTP 400 und strukturierter Fehlermeldung (Feldname + Grund) abgewiesen. Die Antwort erfolgt innerhalb von 250 ms.</w:t>
            </w:r>
          </w:p>
        </w:tc>
        <w:tc>
          <w:tcPr/>
          <w:p>
            <w:pPr>
              <w:pStyle w:val="Compact"/>
            </w:pPr>
            <w:r>
              <w:t xml:space="preserve">V1</w:t>
            </w:r>
          </w:p>
        </w:tc>
      </w:tr>
      <w:tr>
        <w:tc>
          <w:tcPr/>
          <w:p>
            <w:pPr>
              <w:pStyle w:val="Compact"/>
            </w:pPr>
            <w:r>
              <w:t xml:space="preserve">FA-04</w:t>
            </w:r>
          </w:p>
        </w:tc>
        <w:tc>
          <w:tcPr/>
          <w:p>
            <w:pPr>
              <w:pStyle w:val="Compact"/>
            </w:pPr>
            <w:r>
              <w:rPr>
                <w:b/>
                <w:bCs/>
              </w:rPr>
              <w:t xml:space="preserve">Spieler suchen</w:t>
            </w:r>
          </w:p>
        </w:tc>
        <w:tc>
          <w:tcPr/>
          <w:p>
            <w:pPr>
              <w:pStyle w:val="Compact"/>
            </w:pPr>
            <w:r>
              <w:t xml:space="preserve">Ein authentifizierter Benutzer kann über</w:t>
            </w:r>
            <w:r>
              <w:t xml:space="preserve"> </w:t>
            </w:r>
            <w:r>
              <w:rPr>
                <w:rStyle w:val="VerbatimChar"/>
              </w:rPr>
              <w:t xml:space="preserve">GET /api/players?firstName={}&amp;lastName={}</w:t>
            </w:r>
            <w:r>
              <w:t xml:space="preserve"> </w:t>
            </w:r>
            <w:r>
              <w:t xml:space="preserve">nach Spielern suchen. Mindestens einer der beiden Parameter muss angegeben sein (sonst HTTP 400). Das API liefert eine paginierte Liste (max. 50 Einträge pro Seite, Standard-Sortierung: Nachname aufsteigend) aller Treffer innerhalb von 500 ms (95. Perzentil). Bei keinen Treffern wird eine leere Liste mit HTTP 200 zurückgegeben.</w:t>
            </w:r>
          </w:p>
        </w:tc>
        <w:tc>
          <w:tcPr/>
          <w:p>
            <w:pPr>
              <w:pStyle w:val="Compact"/>
            </w:pPr>
            <w:r>
              <w:t xml:space="preserve">V1</w:t>
            </w:r>
          </w:p>
        </w:tc>
      </w:tr>
      <w:tr>
        <w:tc>
          <w:tcPr/>
          <w:p>
            <w:pPr>
              <w:pStyle w:val="Compact"/>
            </w:pPr>
            <w:r>
              <w:t xml:space="preserve">FA-05</w:t>
            </w:r>
          </w:p>
        </w:tc>
        <w:tc>
          <w:tcPr/>
          <w:p>
            <w:pPr>
              <w:pStyle w:val="Compact"/>
            </w:pPr>
            <w:r>
              <w:rPr>
                <w:b/>
                <w:bCs/>
              </w:rPr>
              <w:t xml:space="preserve">Match erstellen</w:t>
            </w:r>
          </w:p>
        </w:tc>
        <w:tc>
          <w:tcPr/>
          <w:p>
            <w:pPr>
              <w:pStyle w:val="Compact"/>
            </w:pPr>
            <w:r>
              <w:t xml:space="preserve">Ein authentifizierter Benutzer kann über</w:t>
            </w:r>
            <w:r>
              <w:t xml:space="preserve"> </w:t>
            </w:r>
            <w:r>
              <w:rPr>
                <w:rStyle w:val="VerbatimChar"/>
              </w:rPr>
              <w:t xml:space="preserve">POST /api/matches</w:t>
            </w:r>
            <w:r>
              <w:t xml:space="preserve"> </w:t>
            </w:r>
            <w:r>
              <w:t xml:space="preserve">ein neues Match anlegen. Pflichtfelder:</w:t>
            </w:r>
            <w:r>
              <w:t xml:space="preserve"> </w:t>
            </w:r>
            <w:r>
              <w:rPr>
                <w:rStyle w:val="VerbatimChar"/>
              </w:rPr>
              <w:t xml:space="preserve">player1Id</w:t>
            </w:r>
            <w:r>
              <w:t xml:space="preserve"> </w:t>
            </w:r>
            <w:r>
              <w:t xml:space="preserve">und</w:t>
            </w:r>
            <w:r>
              <w:t xml:space="preserve"> </w:t>
            </w:r>
            <w:r>
              <w:rPr>
                <w:rStyle w:val="VerbatimChar"/>
              </w:rPr>
              <w:t xml:space="preserve">player2Id</w:t>
            </w:r>
            <w:r>
              <w:t xml:space="preserve"> </w:t>
            </w:r>
            <w:r>
              <w:t xml:space="preserve">(müssen als Spieler existieren, sonst HTTP 404),</w:t>
            </w:r>
            <w:r>
              <w:t xml:space="preserve"> </w:t>
            </w:r>
            <w:r>
              <w:rPr>
                <w:rStyle w:val="VerbatimChar"/>
              </w:rPr>
              <w:t xml:space="preserve">setsToWin</w:t>
            </w:r>
            <w:r>
              <w:t xml:space="preserve"> </w:t>
            </w:r>
            <w:r>
              <w:t xml:space="preserve">(2 oder 3),</w:t>
            </w:r>
            <w:r>
              <w:t xml:space="preserve"> </w:t>
            </w:r>
            <w:r>
              <w:rPr>
                <w:rStyle w:val="VerbatimChar"/>
              </w:rPr>
              <w:t xml:space="preserve">matchTiebreak</w:t>
            </w:r>
            <w:r>
              <w:t xml:space="preserve"> </w:t>
            </w:r>
            <w:r>
              <w:t xml:space="preserve">(true/false),</w:t>
            </w:r>
            <w:r>
              <w:t xml:space="preserve"> </w:t>
            </w:r>
            <w:r>
              <w:rPr>
                <w:rStyle w:val="VerbatimChar"/>
              </w:rPr>
              <w:t xml:space="preserve">shortSet</w:t>
            </w:r>
            <w:r>
              <w:t xml:space="preserve"> </w:t>
            </w:r>
            <w:r>
              <w:t xml:space="preserve">(true/false). Bei erfolgreicher Erstellung antwortet das API mit HTTP 201, der neuen Match-Ressource inklusive generierter UUID und Status</w:t>
            </w:r>
            <w:r>
              <w:t xml:space="preserve"> </w:t>
            </w:r>
            <w:r>
              <w:rPr>
                <w:rStyle w:val="VerbatimChar"/>
              </w:rPr>
              <w:t xml:space="preserve">IN_PROGRESS</w:t>
            </w:r>
            <w:r>
              <w:t xml:space="preserve">. Die Antwort erfolgt innerhalb von 250 ms.</w:t>
            </w:r>
          </w:p>
        </w:tc>
        <w:tc>
          <w:tcPr/>
          <w:p>
            <w:pPr>
              <w:pStyle w:val="Compact"/>
            </w:pPr>
            <w:r>
              <w:t xml:space="preserve">V1</w:t>
            </w:r>
          </w:p>
        </w:tc>
      </w:tr>
      <w:tr>
        <w:tc>
          <w:tcPr/>
          <w:p>
            <w:pPr>
              <w:pStyle w:val="Compact"/>
            </w:pPr>
            <w:r>
              <w:t xml:space="preserve">FA-06</w:t>
            </w:r>
          </w:p>
        </w:tc>
        <w:tc>
          <w:tcPr/>
          <w:p>
            <w:pPr>
              <w:pStyle w:val="Compact"/>
            </w:pPr>
            <w:r>
              <w:rPr>
                <w:b/>
                <w:bCs/>
              </w:rPr>
              <w:t xml:space="preserve">Punkte erfassen</w:t>
            </w:r>
          </w:p>
        </w:tc>
        <w:tc>
          <w:tcPr/>
          <w:p>
            <w:pPr>
              <w:pStyle w:val="Compact"/>
            </w:pPr>
            <w:r>
              <w:t xml:space="preserve">Während eines laufenden Matches (Status</w:t>
            </w:r>
            <w:r>
              <w:t xml:space="preserve"> </w:t>
            </w:r>
            <w:r>
              <w:rPr>
                <w:rStyle w:val="VerbatimChar"/>
              </w:rPr>
              <w:t xml:space="preserve">IN_PROGRESS</w:t>
            </w:r>
            <w:r>
              <w:t xml:space="preserve">) kann ein authentifizierter Benutzer über</w:t>
            </w:r>
            <w:r>
              <w:t xml:space="preserve"> </w:t>
            </w:r>
            <w:r>
              <w:rPr>
                <w:rStyle w:val="VerbatimChar"/>
              </w:rPr>
              <w:t xml:space="preserve">POST /api/matches/{id}/points</w:t>
            </w:r>
            <w:r>
              <w:t xml:space="preserve"> </w:t>
            </w:r>
            <w:r>
              <w:t xml:space="preserve">einen Punkt erfassen. Pflichtfelder:</w:t>
            </w:r>
            <w:r>
              <w:t xml:space="preserve"> </w:t>
            </w:r>
            <w:r>
              <w:rPr>
                <w:rStyle w:val="VerbatimChar"/>
              </w:rPr>
              <w:t xml:space="preserve">pointType</w:t>
            </w:r>
            <w:r>
              <w:t xml:space="preserve"> </w:t>
            </w:r>
            <w:r>
              <w:t xml:space="preserve">(</w:t>
            </w:r>
            <w:r>
              <w:rPr>
                <w:rStyle w:val="VerbatimChar"/>
              </w:rPr>
              <w:t xml:space="preserve">WINNER</w:t>
            </w:r>
            <w:r>
              <w:t xml:space="preserve">/</w:t>
            </w:r>
            <w:r>
              <w:rPr>
                <w:rStyle w:val="VerbatimChar"/>
              </w:rPr>
              <w:t xml:space="preserve">UNFORCED_ERROR</w:t>
            </w:r>
            <w:r>
              <w:t xml:space="preserve">/</w:t>
            </w:r>
            <w:r>
              <w:rPr>
                <w:rStyle w:val="VerbatimChar"/>
              </w:rPr>
              <w:t xml:space="preserve">FORCED_ERROR</w:t>
            </w:r>
            <w:r>
              <w:t xml:space="preserve">/</w:t>
            </w:r>
            <w:r>
              <w:rPr>
                <w:rStyle w:val="VerbatimChar"/>
              </w:rPr>
              <w:t xml:space="preserve">ACE</w:t>
            </w:r>
            <w:r>
              <w:t xml:space="preserve">/</w:t>
            </w:r>
            <w:r>
              <w:rPr>
                <w:rStyle w:val="VerbatimChar"/>
              </w:rPr>
              <w:t xml:space="preserve">DOUBLE_FAULT</w:t>
            </w:r>
            <w:r>
              <w:t xml:space="preserve">/</w:t>
            </w:r>
            <w:r>
              <w:rPr>
                <w:rStyle w:val="VerbatimChar"/>
              </w:rPr>
              <w:t xml:space="preserve">NET</w:t>
            </w:r>
            <w:r>
              <w:t xml:space="preserve">/</w:t>
            </w:r>
            <w:r>
              <w:rPr>
                <w:rStyle w:val="VerbatimChar"/>
              </w:rPr>
              <w:t xml:space="preserve">OUT_LONG</w:t>
            </w:r>
            <w:r>
              <w:t xml:space="preserve">/</w:t>
            </w:r>
            <w:r>
              <w:rPr>
                <w:rStyle w:val="VerbatimChar"/>
              </w:rPr>
              <w:t xml:space="preserve">OUT_SIDE</w:t>
            </w:r>
            <w:r>
              <w:t xml:space="preserve">),</w:t>
            </w:r>
            <w:r>
              <w:t xml:space="preserve"> </w:t>
            </w:r>
            <w:r>
              <w:rPr>
                <w:rStyle w:val="VerbatimChar"/>
              </w:rPr>
              <w:t xml:space="preserve">strokeType</w:t>
            </w:r>
            <w:r>
              <w:t xml:space="preserve"> </w:t>
            </w:r>
            <w:r>
              <w:t xml:space="preserve">(</w:t>
            </w:r>
            <w:r>
              <w:rPr>
                <w:rStyle w:val="VerbatimChar"/>
              </w:rPr>
              <w:t xml:space="preserve">FOREHAND</w:t>
            </w:r>
            <w:r>
              <w:t xml:space="preserve">/</w:t>
            </w:r>
            <w:r>
              <w:rPr>
                <w:rStyle w:val="VerbatimChar"/>
              </w:rPr>
              <w:t xml:space="preserve">BACKHAND</w:t>
            </w:r>
            <w:r>
              <w:t xml:space="preserve">/</w:t>
            </w:r>
            <w:r>
              <w:rPr>
                <w:rStyle w:val="VerbatimChar"/>
              </w:rPr>
              <w:t xml:space="preserve">SERVE</w:t>
            </w:r>
            <w:r>
              <w:t xml:space="preserve">/</w:t>
            </w:r>
            <w:r>
              <w:rPr>
                <w:rStyle w:val="VerbatimChar"/>
              </w:rPr>
              <w:t xml:space="preserve">VOLLEY</w:t>
            </w:r>
            <w:r>
              <w:t xml:space="preserve">/</w:t>
            </w:r>
            <w:r>
              <w:rPr>
                <w:rStyle w:val="VerbatimChar"/>
              </w:rPr>
              <w:t xml:space="preserve">SMASH</w:t>
            </w:r>
            <w:r>
              <w:t xml:space="preserve">) und</w:t>
            </w:r>
            <w:r>
              <w:t xml:space="preserve"> </w:t>
            </w:r>
            <w:r>
              <w:rPr>
                <w:rStyle w:val="VerbatimChar"/>
              </w:rPr>
              <w:t xml:space="preserve">direction</w:t>
            </w:r>
            <w:r>
              <w:t xml:space="preserve"> </w:t>
            </w:r>
            <w:r>
              <w:t xml:space="preserve">(</w:t>
            </w:r>
            <w:r>
              <w:rPr>
                <w:rStyle w:val="VerbatimChar"/>
              </w:rPr>
              <w:t xml:space="preserve">CROSS_COURT</w:t>
            </w:r>
            <w:r>
              <w:t xml:space="preserve">/</w:t>
            </w:r>
            <w:r>
              <w:rPr>
                <w:rStyle w:val="VerbatimChar"/>
              </w:rPr>
              <w:t xml:space="preserve">DOWN_THE_LINE</w:t>
            </w:r>
            <w:r>
              <w:t xml:space="preserve">/</w:t>
            </w:r>
            <w:r>
              <w:rPr>
                <w:rStyle w:val="VerbatimChar"/>
              </w:rPr>
              <w:t xml:space="preserve">MIDDLE</w:t>
            </w:r>
            <w:r>
              <w:t xml:space="preserve">). Optionalfeld:</w:t>
            </w:r>
            <w:r>
              <w:t xml:space="preserve"> </w:t>
            </w:r>
            <w:r>
              <w:rPr>
                <w:rStyle w:val="VerbatimChar"/>
              </w:rPr>
              <w:t xml:space="preserve">remark</w:t>
            </w:r>
            <w:r>
              <w:t xml:space="preserve"> </w:t>
            </w:r>
            <w:r>
              <w:t xml:space="preserve">(Freitext, max. 500 Zeichen). Das API antwortet mit HTTP 201 und dem aktualisierten Spielstand. Ungültige Enum-Werte oder fehlende Pflichtfelder werden mit HTTP 400 abgewiesen. Die Verarbeitung erfolgt innerhalb von 250 ms (95. Perzentil bei 100 gleichzeitigen Benutzern).</w:t>
            </w:r>
          </w:p>
        </w:tc>
        <w:tc>
          <w:tcPr/>
          <w:p>
            <w:pPr>
              <w:pStyle w:val="Compact"/>
            </w:pPr>
            <w:r>
              <w:t xml:space="preserve">V1</w:t>
            </w:r>
          </w:p>
        </w:tc>
      </w:tr>
      <w:tr>
        <w:tc>
          <w:tcPr/>
          <w:p>
            <w:pPr>
              <w:pStyle w:val="Compact"/>
            </w:pPr>
            <w:r>
              <w:t xml:space="preserve">FA-07</w:t>
            </w:r>
          </w:p>
        </w:tc>
        <w:tc>
          <w:tcPr/>
          <w:p>
            <w:pPr>
              <w:pStyle w:val="Compact"/>
            </w:pPr>
            <w:r>
              <w:rPr>
                <w:b/>
                <w:bCs/>
              </w:rPr>
              <w:t xml:space="preserve">Spielstand anzeigen</w:t>
            </w:r>
          </w:p>
        </w:tc>
        <w:tc>
          <w:tcPr/>
          <w:p>
            <w:pPr>
              <w:pStyle w:val="Compact"/>
            </w:pPr>
            <w:r>
              <w:t xml:space="preserve">Nach jedem erfassten Punkt enthält die API-Antwort von</w:t>
            </w:r>
            <w:r>
              <w:t xml:space="preserve"> </w:t>
            </w:r>
            <w:r>
              <w:rPr>
                <w:rStyle w:val="VerbatimChar"/>
              </w:rPr>
              <w:t xml:space="preserve">POST /api/matches/{id}/points</w:t>
            </w:r>
            <w:r>
              <w:t xml:space="preserve"> </w:t>
            </w:r>
            <w:r>
              <w:t xml:space="preserve">den vollständigen, korrekt berechneten Spielstand: laufende Punkte im Game (0/15/30/40/Vorteil/Tiebreak-Zählung), gewonnene Games pro Satz und gewonnene Sätze beider Spieler. Das Angular-Frontend aktualisiert die Anzeige auf Basis dieser Antwort innerhalb von 250 ms. Einstand und Vorteile sowie Tiebreak-Regeln müssen gemäss ITF-Regelwerk korrekt abgebildet sein.</w:t>
            </w:r>
          </w:p>
        </w:tc>
        <w:tc>
          <w:tcPr/>
          <w:p>
            <w:pPr>
              <w:pStyle w:val="Compact"/>
            </w:pPr>
            <w:r>
              <w:t xml:space="preserve">V1</w:t>
            </w:r>
          </w:p>
        </w:tc>
      </w:tr>
      <w:tr>
        <w:tc>
          <w:tcPr/>
          <w:p>
            <w:pPr>
              <w:pStyle w:val="Compact"/>
            </w:pPr>
            <w:r>
              <w:t xml:space="preserve">FA-08</w:t>
            </w:r>
          </w:p>
        </w:tc>
        <w:tc>
          <w:tcPr/>
          <w:p>
            <w:pPr>
              <w:pStyle w:val="Compact"/>
            </w:pPr>
            <w:r>
              <w:rPr>
                <w:b/>
                <w:bCs/>
              </w:rPr>
              <w:t xml:space="preserve">Head-to-Head-Statistik</w:t>
            </w:r>
          </w:p>
        </w:tc>
        <w:tc>
          <w:tcPr/>
          <w:p>
            <w:pPr>
              <w:pStyle w:val="Compact"/>
            </w:pPr>
            <w:r>
              <w:t xml:space="preserve">Ein authentifizierter Benutzer kann über</w:t>
            </w:r>
            <w:r>
              <w:t xml:space="preserve"> </w:t>
            </w:r>
            <w:r>
              <w:rPr>
                <w:rStyle w:val="VerbatimChar"/>
              </w:rPr>
              <w:t xml:space="preserve">GET /api/statistics/head-to-head?player1={id}&amp;player2={id}</w:t>
            </w:r>
            <w:r>
              <w:t xml:space="preserve"> </w:t>
            </w:r>
            <w:r>
              <w:t xml:space="preserve">eine Statistik abrufen. Die Antwort enthält für beide Spieler die folgenden Kennzahlen, jeweils als Absolutwert und Prozentwert (wo sinnvoll):</w:t>
            </w:r>
            <w:r>
              <w:t xml:space="preserve"> </w:t>
            </w:r>
            <w:r>
              <w:rPr>
                <w:b/>
                <w:bCs/>
              </w:rPr>
              <w:t xml:space="preserve">Aufschlag:</w:t>
            </w:r>
            <w:r>
              <w:t xml:space="preserve"> </w:t>
            </w:r>
            <w:r>
              <w:t xml:space="preserve">First Serve% (Anteil erster Aufschläge im Feld), First Serve Won%, Second Serve Won%, Aces (absolut), Double Faults (absolut).</w:t>
            </w:r>
            <w:r>
              <w:t xml:space="preserve"> </w:t>
            </w:r>
            <w:r>
              <w:rPr>
                <w:b/>
                <w:bCs/>
              </w:rPr>
              <w:t xml:space="preserve">Return:</w:t>
            </w:r>
            <w:r>
              <w:t xml:space="preserve"> </w:t>
            </w:r>
            <w:r>
              <w:t xml:space="preserve">Return Points Won% auf ersten Aufschlag, Return Points Won% auf zweiten Aufschlag, Break Points Won% (gewonnene von gespielten Break Points), Return Games Won%.</w:t>
            </w:r>
            <w:r>
              <w:t xml:space="preserve"> </w:t>
            </w:r>
            <w:r>
              <w:rPr>
                <w:b/>
                <w:bCs/>
              </w:rPr>
              <w:t xml:space="preserve">Rallye:</w:t>
            </w:r>
            <w:r>
              <w:t xml:space="preserve"> </w:t>
            </w:r>
            <w:r>
              <w:t xml:space="preserve">Winners% (Anteil direkter Gewinnschläge an allen Punkten), Unforced Error%.</w:t>
            </w:r>
            <w:r>
              <w:t xml:space="preserve"> </w:t>
            </w:r>
            <w:r>
              <w:rPr>
                <w:b/>
                <w:bCs/>
              </w:rPr>
              <w:t xml:space="preserve">Match-Bilanz:</w:t>
            </w:r>
            <w:r>
              <w:t xml:space="preserve"> </w:t>
            </w:r>
            <w:r>
              <w:t xml:space="preserve">Siege und Niederlagen gegeneinander (absolut), Satzbilanz (gewonnene:verlorene Sätze gesamt). Die Berechnung muss auch bei 500 oder mehr gespeicherten Matches innerhalb von 60 Sekunden abgeschlossen sein. Nicht existierende Spieler-IDs werden mit HTTP 404 abgewiesen.</w:t>
            </w:r>
            <w:r>
              <w:t xml:space="preserve"> </w:t>
            </w:r>
            <w:r>
              <w:rPr>
                <w:b/>
                <w:bCs/>
              </w:rPr>
              <w:t xml:space="preserve">Implementierung:</w:t>
            </w:r>
            <w:r>
              <w:t xml:space="preserve"> </w:t>
            </w:r>
            <w:r>
              <w:rPr>
                <w:rStyle w:val="VerbatimChar"/>
              </w:rPr>
              <w:t xml:space="preserve">GET /api/statistics/head-to-head</w:t>
            </w:r>
            <w:r>
              <w:t xml:space="preserve"> </w:t>
            </w:r>
            <w:r>
              <w:t xml:space="preserve">im</w:t>
            </w:r>
            <w:r>
              <w:t xml:space="preserve"> </w:t>
            </w:r>
            <w:r>
              <w:rPr>
                <w:rStyle w:val="VerbatimChar"/>
              </w:rPr>
              <w:t xml:space="preserve">statistics-module</w:t>
            </w:r>
            <w:r>
              <w:t xml:space="preserve">. Match-/Satzbilanz wird ausschliesslich aus abgeschlossenen Matches (entschiedenes</w:t>
            </w:r>
            <w:r>
              <w:t xml:space="preserve"> </w:t>
            </w:r>
            <w:r>
              <w:rPr>
                <w:rStyle w:val="VerbatimChar"/>
              </w:rPr>
              <w:t xml:space="preserve">MatchScore.winner</w:t>
            </w:r>
            <w:r>
              <w:t xml:space="preserve">) berechnet; Punkt-basierte Kennzahlen aggregieren über alle gemeinsamen Matches mit erfassten Punkten. Return-Games-Won% wird aus dem spielentscheidenden Punkt je (Satz, Spiel) abgeleitet.</w:t>
            </w:r>
          </w:p>
        </w:tc>
        <w:tc>
          <w:tcPr/>
          <w:p>
            <w:pPr>
              <w:pStyle w:val="Compact"/>
            </w:pPr>
            <w:r>
              <w:t xml:space="preserve">V1</w:t>
            </w:r>
          </w:p>
        </w:tc>
      </w:tr>
      <w:tr>
        <w:tc>
          <w:tcPr/>
          <w:p>
            <w:pPr>
              <w:pStyle w:val="Compact"/>
            </w:pPr>
            <w:r>
              <w:t xml:space="preserve">FA-09</w:t>
            </w:r>
          </w:p>
        </w:tc>
        <w:tc>
          <w:tcPr/>
          <w:p>
            <w:pPr>
              <w:pStyle w:val="Compact"/>
            </w:pPr>
            <w:r>
              <w:rPr>
                <w:b/>
                <w:bCs/>
              </w:rPr>
              <w:t xml:space="preserve">Google-Login</w:t>
            </w:r>
          </w:p>
        </w:tc>
        <w:tc>
          <w:tcPr/>
          <w:p>
            <w:pPr>
              <w:pStyle w:val="Compact"/>
            </w:pPr>
            <w:r>
              <w:t xml:space="preserve">Ein Benutzer kann sich auf dem Keycloak-Login-Bildschirm über die Schaltfläche «Mit Google anmelden» via OAuth2-Federation mit seinem Google-Konto authentifizieren. Beim ersten Google-Login wird automatisch ein TSaS-Benutzerkonto mit der verifizierten Google-E-Mail-Adresse angelegt (HTTP 201 intern). Nach dem Login hat der Benutzer identische Zugriffsrechte wie ein lokal registrierter Benutzer (HTTP 200 auf alle geschützten Endpunkte). Der gesamte Google-Login-Flow muss innerhalb von 5 Sekunden abgeschlossen sein.</w:t>
            </w:r>
          </w:p>
        </w:tc>
        <w:tc>
          <w:tcPr/>
          <w:p>
            <w:pPr>
              <w:pStyle w:val="Compact"/>
            </w:pPr>
            <w:r>
              <w:t xml:space="preserve">V2</w:t>
            </w:r>
          </w:p>
        </w:tc>
      </w:tr>
      <w:tr>
        <w:tc>
          <w:tcPr/>
          <w:p>
            <w:pPr>
              <w:pStyle w:val="Compact"/>
            </w:pPr>
            <w:r>
              <w:t xml:space="preserve">FA-10</w:t>
            </w:r>
          </w:p>
        </w:tc>
        <w:tc>
          <w:tcPr/>
          <w:p>
            <w:pPr>
              <w:pStyle w:val="Compact"/>
            </w:pPr>
            <w:r>
              <w:rPr>
                <w:b/>
                <w:bCs/>
              </w:rPr>
              <w:t xml:space="preserve">Aufsprungpunkte erfassen</w:t>
            </w:r>
          </w:p>
        </w:tc>
        <w:tc>
          <w:tcPr/>
          <w:p>
            <w:pPr>
              <w:pStyle w:val="Compact"/>
            </w:pPr>
            <w:r>
              <w:t xml:space="preserve">Während der Punkterfassung kann ein authentifizierter Benutzer per Touch oder Mausklick auf eine massstabsgetreue, schematische Tennisfeld-Darstellung (Draufsicht, Abmessungen 23,77 m × 10,97 m) den Aufsprungpunkt des Balls markieren. Die normalisierten X/Y-Koordinaten (Gleitkommazahl, relativ zur Feldgrösse) werden als optionales Feld im</w:t>
            </w:r>
            <w:r>
              <w:t xml:space="preserve"> </w:t>
            </w:r>
            <w:r>
              <w:rPr>
                <w:rStyle w:val="VerbatimChar"/>
              </w:rPr>
              <w:t xml:space="preserve">POST /api/matches/{id}/points</w:t>
            </w:r>
            <w:r>
              <w:t xml:space="preserve"> </w:t>
            </w:r>
            <w:r>
              <w:t xml:space="preserve">gespeichert. Die Touch/Klick-Eingabe muss innerhalb von 100 ms durch einen sichtbaren Marker auf der Darstellung bestätigt werden.</w:t>
            </w:r>
          </w:p>
        </w:tc>
        <w:tc>
          <w:tcPr/>
          <w:p>
            <w:pPr>
              <w:pStyle w:val="Compact"/>
            </w:pPr>
            <w:r>
              <w:t xml:space="preserve">V3</w:t>
            </w:r>
          </w:p>
        </w:tc>
      </w:tr>
      <w:tr>
        <w:tc>
          <w:tcPr/>
          <w:p>
            <w:pPr>
              <w:pStyle w:val="Compact"/>
            </w:pPr>
            <w:r>
              <w:t xml:space="preserve">FA-11</w:t>
            </w:r>
          </w:p>
        </w:tc>
        <w:tc>
          <w:tcPr/>
          <w:p>
            <w:pPr>
              <w:pStyle w:val="Compact"/>
            </w:pPr>
            <w:r>
              <w:rPr>
                <w:b/>
                <w:bCs/>
              </w:rPr>
              <w:t xml:space="preserve">KI-gestützte Match-Analyse (Postmortem)</w:t>
            </w:r>
          </w:p>
        </w:tc>
        <w:tc>
          <w:tcPr/>
          <w:p>
            <w:pPr>
              <w:pStyle w:val="Compact"/>
            </w:pPr>
            <w:r>
              <w:t xml:space="preserve">Für ein beendetes Match (Status</w:t>
            </w:r>
            <w:r>
              <w:t xml:space="preserve"> </w:t>
            </w:r>
            <w:r>
              <w:rPr>
                <w:rStyle w:val="VerbatimChar"/>
              </w:rPr>
              <w:t xml:space="preserve">COMPLETED</w:t>
            </w:r>
            <w:r>
              <w:t xml:space="preserve">) mit mindestens 10 erfassten Punkten kann ein authentifizierter Benutzer über</w:t>
            </w:r>
            <w:r>
              <w:t xml:space="preserve"> </w:t>
            </w:r>
            <w:r>
              <w:rPr>
                <w:rStyle w:val="VerbatimChar"/>
              </w:rPr>
              <w:t xml:space="preserve">POST /api/matches/{id}/analysis</w:t>
            </w:r>
            <w:r>
              <w:t xml:space="preserve"> </w:t>
            </w:r>
            <w:r>
              <w:t xml:space="preserve">eine strukturierte taktische Auswertung generieren. Das Backend aggregiert die Match-Statistiken, baut einen Prompt aus Statistiken und Spielermetadaten (Name, Ranking, Handedness, Backhand-Typ) und ruft via Spring AI ein LLM (Default OpenAI</w:t>
            </w:r>
            <w:r>
              <w:t xml:space="preserve"> </w:t>
            </w:r>
            <w:r>
              <w:rPr>
                <w:rStyle w:val="VerbatimChar"/>
              </w:rPr>
              <w:t xml:space="preserve">gpt-4o-mini</w:t>
            </w:r>
            <w:r>
              <w:t xml:space="preserve">). Die Antwort enthält fünf Textfelder (Schlüsselmomente, eigene Stärken, eigene Schwächen, gegnerische Stärken, gegnerische Schwächen) und 3–5 priorisierte Empfehlungen. Die Analyse wird in</w:t>
            </w:r>
            <w:r>
              <w:t xml:space="preserve"> </w:t>
            </w:r>
            <w:r>
              <w:rPr>
                <w:rStyle w:val="VerbatimChar"/>
              </w:rPr>
              <w:t xml:space="preserve">match_analysis</w:t>
            </w:r>
            <w:r>
              <w:t xml:space="preserve"> </w:t>
            </w:r>
            <w:r>
              <w:t xml:space="preserve">persistiert (1:1 zum Match, überschreibbar). Antwort innerhalb von 60 s (Timeout). Das Angular-Frontend stellt die Analyse über eine dedizierte Route (</w:t>
            </w:r>
            <w:r>
              <w:rPr>
                <w:rStyle w:val="VerbatimChar"/>
              </w:rPr>
              <w:t xml:space="preserve">/matches/:id/analysis</w:t>
            </w:r>
            <w:r>
              <w:t xml:space="preserve">,</w:t>
            </w:r>
            <w:r>
              <w:t xml:space="preserve"> </w:t>
            </w:r>
            <w:r>
              <w:rPr>
                <w:rStyle w:val="VerbatimChar"/>
              </w:rPr>
              <w:t xml:space="preserve">MatchAnalysisComponent</w:t>
            </w:r>
            <w:r>
              <w:t xml:space="preserve">) dar — Generieren/Neu-Generieren mit Spinner, Anzeige der fünf Textfelder + priorisierter Empfehlungen und statuscode-spezifische Fehlerbehandlung (409/422/502). HTTP-Codes: 200 (erfolgreich), 404 (Match unbekannt), 409 (Match nicht</w:t>
            </w:r>
            <w:r>
              <w:t xml:space="preserve"> </w:t>
            </w:r>
            <w:r>
              <w:rPr>
                <w:rStyle w:val="VerbatimChar"/>
              </w:rPr>
              <w:t xml:space="preserve">COMPLETED</w:t>
            </w:r>
            <w:r>
              <w:t xml:space="preserve">), 422 (&lt; 10 Points), 502 (LLM-Fehler — FAILED-Datensatz wird trotzdem persistiert).</w:t>
            </w:r>
            <w:r>
              <w:t xml:space="preserve"> </w:t>
            </w:r>
            <w:r>
              <w:rPr>
                <w:rStyle w:val="VerbatimChar"/>
              </w:rPr>
              <w:t xml:space="preserve">GET /api/matches/{id}/analysis</w:t>
            </w:r>
            <w:r>
              <w:t xml:space="preserve"> </w:t>
            </w:r>
            <w:r>
              <w:t xml:space="preserve">liefert die gespeicherte Analyse aus der DB ohne erneuten LLM-Aufruf (&lt; 250 ms). Sprache der Auswertung: Deutsch.</w:t>
            </w:r>
          </w:p>
        </w:tc>
        <w:tc>
          <w:tcPr/>
          <w:p>
            <w:pPr>
              <w:pStyle w:val="Compact"/>
            </w:pPr>
            <w:r>
              <w:t xml:space="preserve">V1.x</w:t>
            </w:r>
          </w:p>
        </w:tc>
      </w:tr>
      <w:tr>
        <w:tc>
          <w:tcPr/>
          <w:p>
            <w:pPr>
              <w:pStyle w:val="Compact"/>
            </w:pPr>
            <w:r>
              <w:t xml:space="preserve">FA-12</w:t>
            </w:r>
          </w:p>
        </w:tc>
        <w:tc>
          <w:tcPr/>
          <w:p>
            <w:pPr>
              <w:pStyle w:val="Compact"/>
            </w:pPr>
            <w:r>
              <w:rPr>
                <w:b/>
                <w:bCs/>
              </w:rPr>
              <w:t xml:space="preserve">Spieler aktualisieren</w:t>
            </w:r>
          </w:p>
        </w:tc>
        <w:tc>
          <w:tcPr/>
          <w:p>
            <w:pPr>
              <w:pStyle w:val="Compact"/>
            </w:pPr>
            <w:r>
              <w:t xml:space="preserve">Ein authentifizierter Benutzer kann über</w:t>
            </w:r>
            <w:r>
              <w:t xml:space="preserve"> </w:t>
            </w:r>
            <w:r>
              <w:rPr>
                <w:rStyle w:val="VerbatimChar"/>
              </w:rPr>
              <w:t xml:space="preserve">PUT /api/players/{id}</w:t>
            </w:r>
            <w:r>
              <w:t xml:space="preserve"> </w:t>
            </w:r>
            <w:r>
              <w:t xml:space="preserve">einen bestehenden Spieler ändern. Pflicht- und Optionalfelder sind identisch zu FA-03 (Vorname, Nachname, Geschlecht, Spielhand, Backhand-Typ als Pflicht; Ranking, Nationalität, Geburtsdatum optional). Bei gültiger Eingabe antwortet das API mit HTTP 200 und der aktualisierten Spieler-Ressource (inklusive</w:t>
            </w:r>
            <w:r>
              <w:t xml:space="preserve"> </w:t>
            </w:r>
            <w:r>
              <w:rPr>
                <w:rStyle w:val="VerbatimChar"/>
              </w:rPr>
              <w:t xml:space="preserve">deletable</w:t>
            </w:r>
            <w:r>
              <w:t xml:space="preserve">-Flag und ggf.</w:t>
            </w:r>
            <w:r>
              <w:t xml:space="preserve"> </w:t>
            </w:r>
            <w:r>
              <w:rPr>
                <w:rStyle w:val="VerbatimChar"/>
              </w:rPr>
              <w:t xml:space="preserve">activeMatchId</w:t>
            </w:r>
            <w:r>
              <w:t xml:space="preserve">). Eine unbekannte Spieler-ID wird mit HTTP 404 abgewiesen, fehlende Pflichtfelder oder Formatverletzungen mit HTTP 400 und strukturierter Fehlermeldung. Die Antwort erfolgt innerhalb von 250 ms.</w:t>
            </w:r>
          </w:p>
        </w:tc>
        <w:tc>
          <w:tcPr/>
          <w:p>
            <w:pPr>
              <w:pStyle w:val="Compact"/>
            </w:pPr>
            <w:r>
              <w:t xml:space="preserve">V1</w:t>
            </w:r>
          </w:p>
        </w:tc>
      </w:tr>
      <w:tr>
        <w:tc>
          <w:tcPr/>
          <w:p>
            <w:pPr>
              <w:pStyle w:val="Compact"/>
            </w:pPr>
            <w:r>
              <w:t xml:space="preserve">FA-13</w:t>
            </w:r>
          </w:p>
        </w:tc>
        <w:tc>
          <w:tcPr/>
          <w:p>
            <w:pPr>
              <w:pStyle w:val="Compact"/>
            </w:pPr>
            <w:r>
              <w:rPr>
                <w:b/>
                <w:bCs/>
              </w:rPr>
              <w:t xml:space="preserve">Spieler löschen / deaktivieren</w:t>
            </w:r>
          </w:p>
        </w:tc>
        <w:tc>
          <w:tcPr/>
          <w:p>
            <w:pPr>
              <w:pStyle w:val="Compact"/>
            </w:pPr>
            <w:r>
              <w:t xml:space="preserve">Ein authentifizierter Benutzer kann einen Spieler über</w:t>
            </w:r>
            <w:r>
              <w:t xml:space="preserve"> </w:t>
            </w:r>
            <w:r>
              <w:rPr>
                <w:rStyle w:val="VerbatimChar"/>
              </w:rPr>
              <w:t xml:space="preserve">DELETE /api/players/{id}</w:t>
            </w:r>
            <w:r>
              <w:t xml:space="preserve"> </w:t>
            </w:r>
            <w:r>
              <w:t xml:space="preserve">hart löschen (HTTP 204). Ist der Spieler an mindestens einem Match beteiligt, wird das harte Löschen zum Schutz der Match-Historie mit HTTP 409 abgewiesen; in diesem Fall steht</w:t>
            </w:r>
            <w:r>
              <w:t xml:space="preserve"> </w:t>
            </w:r>
            <w:r>
              <w:rPr>
                <w:rStyle w:val="VerbatimChar"/>
              </w:rPr>
              <w:t xml:space="preserve">PATCH /api/players/{id}/deactivate</w:t>
            </w:r>
            <w:r>
              <w:t xml:space="preserve"> </w:t>
            </w:r>
            <w:r>
              <w:t xml:space="preserve">zur Verfügung, das den Spieler per Soft-Delete deaktiviert (</w:t>
            </w:r>
            <w:r>
              <w:rPr>
                <w:rStyle w:val="VerbatimChar"/>
              </w:rPr>
              <w:t xml:space="preserve">active = false</w:t>
            </w:r>
            <w:r>
              <w:t xml:space="preserve">) und Datensatz samt Match-Historie erhält (HTTP 204). Eine unbekannte Spieler-ID wird in beiden Fällen mit HTTP 404 abgewiesen. Die Antwort erfolgt innerhalb von 250 ms.</w:t>
            </w:r>
          </w:p>
        </w:tc>
        <w:tc>
          <w:tcPr/>
          <w:p>
            <w:pPr>
              <w:pStyle w:val="Compact"/>
            </w:pPr>
            <w:r>
              <w:t xml:space="preserve">V1</w:t>
            </w:r>
          </w:p>
        </w:tc>
      </w:tr>
      <w:tr>
        <w:tc>
          <w:tcPr/>
          <w:p>
            <w:pPr>
              <w:pStyle w:val="Compact"/>
            </w:pPr>
            <w:r>
              <w:t xml:space="preserve">FA-14</w:t>
            </w:r>
          </w:p>
        </w:tc>
        <w:tc>
          <w:tcPr/>
          <w:p>
            <w:pPr>
              <w:pStyle w:val="Compact"/>
            </w:pPr>
            <w:r>
              <w:rPr>
                <w:b/>
                <w:bCs/>
              </w:rPr>
              <w:t xml:space="preserve">Match beenden / Walkover</w:t>
            </w:r>
          </w:p>
        </w:tc>
        <w:tc>
          <w:tcPr/>
          <w:p>
            <w:pPr>
              <w:pStyle w:val="Compact"/>
            </w:pPr>
            <w:r>
              <w:t xml:space="preserve">Ein authentifizierter Benutzer kann ein laufendes Match vorzeitig beenden.</w:t>
            </w:r>
            <w:r>
              <w:t xml:space="preserve"> </w:t>
            </w:r>
            <w:r>
              <w:rPr>
                <w:rStyle w:val="VerbatimChar"/>
              </w:rPr>
              <w:t xml:space="preserve">POST /api/matches/{id}/end</w:t>
            </w:r>
            <w:r>
              <w:t xml:space="preserve"> </w:t>
            </w:r>
            <w:r>
              <w:t xml:space="preserve">markiert das Match als</w:t>
            </w:r>
            <w:r>
              <w:t xml:space="preserve"> </w:t>
            </w:r>
            <w:r>
              <w:rPr>
                <w:rStyle w:val="VerbatimChar"/>
              </w:rPr>
              <w:t xml:space="preserve">COMPLETED</w:t>
            </w:r>
            <w:r>
              <w:t xml:space="preserve">; ein noch nicht entschiedener Spielstand wird finalisiert und der Sieger aus den gewonnenen Sätzen abgeleitet (HTTP 200 mit Match-Ressource).</w:t>
            </w:r>
            <w:r>
              <w:t xml:space="preserve"> </w:t>
            </w:r>
            <w:r>
              <w:rPr>
                <w:rStyle w:val="VerbatimChar"/>
              </w:rPr>
              <w:t xml:space="preserve">POST /api/matches/{id}/end/walkover</w:t>
            </w:r>
            <w:r>
              <w:t xml:space="preserve"> </w:t>
            </w:r>
            <w:r>
              <w:t xml:space="preserve">beendet das Match per Walkover und weist den Sieg unabhängig vom bisherigen Spielstand zu; Pflichtfeld im Body:</w:t>
            </w:r>
            <w:r>
              <w:t xml:space="preserve"> </w:t>
            </w:r>
            <w:r>
              <w:rPr>
                <w:rStyle w:val="VerbatimChar"/>
              </w:rPr>
              <w:t xml:space="preserve">winner</w:t>
            </w:r>
            <w:r>
              <w:t xml:space="preserve"> </w:t>
            </w:r>
            <w:r>
              <w:t xml:space="preserve">(</w:t>
            </w:r>
            <w:r>
              <w:rPr>
                <w:rStyle w:val="VerbatimChar"/>
              </w:rPr>
              <w:t xml:space="preserve">PLAYER1</w:t>
            </w:r>
            <w:r>
              <w:t xml:space="preserve">/</w:t>
            </w:r>
            <w:r>
              <w:rPr>
                <w:rStyle w:val="VerbatimChar"/>
              </w:rPr>
              <w:t xml:space="preserve">PLAYER2</w:t>
            </w:r>
            <w:r>
              <w:t xml:space="preserve">). Bei Erfolg antwortet das API mit HTTP 200. Ein Walkover auf einem bereits abgeschlossenen Match wird mit HTTP 409 abgewiesen, ein unbekanntes Match mit HTTP 404, ein fehlender oder ungültiger</w:t>
            </w:r>
            <w:r>
              <w:t xml:space="preserve"> </w:t>
            </w:r>
            <w:r>
              <w:rPr>
                <w:rStyle w:val="VerbatimChar"/>
              </w:rPr>
              <w:t xml:space="preserve">winner</w:t>
            </w:r>
            <w:r>
              <w:t xml:space="preserve"> </w:t>
            </w:r>
            <w:r>
              <w:t xml:space="preserve">mit HTTP 400. Die Antwort erfolgt innerhalb von 250 ms.</w:t>
            </w:r>
          </w:p>
        </w:tc>
        <w:tc>
          <w:tcPr/>
          <w:p>
            <w:pPr>
              <w:pStyle w:val="Compact"/>
            </w:pPr>
            <w:r>
              <w:t xml:space="preserve">V1</w:t>
            </w:r>
          </w:p>
        </w:tc>
      </w:tr>
      <w:tr>
        <w:tc>
          <w:tcPr/>
          <w:p>
            <w:pPr>
              <w:pStyle w:val="Compact"/>
            </w:pPr>
            <w:r>
              <w:t xml:space="preserve">FA-15</w:t>
            </w:r>
          </w:p>
        </w:tc>
        <w:tc>
          <w:tcPr/>
          <w:p>
            <w:pPr>
              <w:pStyle w:val="Compact"/>
            </w:pPr>
            <w:r>
              <w:rPr>
                <w:b/>
                <w:bCs/>
              </w:rPr>
              <w:t xml:space="preserve">Spielstand manuell korrigieren</w:t>
            </w:r>
          </w:p>
        </w:tc>
        <w:tc>
          <w:tcPr/>
          <w:p>
            <w:pPr>
              <w:pStyle w:val="Compact"/>
            </w:pPr>
            <w:r>
              <w:t xml:space="preserve">Ein authentifizierter Benutzer kann den Spielstand eines Matches über</w:t>
            </w:r>
            <w:r>
              <w:t xml:space="preserve"> </w:t>
            </w:r>
            <w:r>
              <w:rPr>
                <w:rStyle w:val="VerbatimChar"/>
              </w:rPr>
              <w:t xml:space="preserve">PUT /api/matches/{id}/score</w:t>
            </w:r>
            <w:r>
              <w:t xml:space="preserve"> </w:t>
            </w:r>
            <w:r>
              <w:t xml:space="preserve">manuell überschreiben (Korrektur). Pflichtfelder:</w:t>
            </w:r>
            <w:r>
              <w:t xml:space="preserve"> </w:t>
            </w:r>
            <w:r>
              <w:rPr>
                <w:rStyle w:val="VerbatimChar"/>
              </w:rPr>
              <w:t xml:space="preserve">pointsPlayer1</w:t>
            </w:r>
            <w:r>
              <w:t xml:space="preserve">/</w:t>
            </w:r>
            <w:r>
              <w:rPr>
                <w:rStyle w:val="VerbatimChar"/>
              </w:rPr>
              <w:t xml:space="preserve">pointsPlayer2</w:t>
            </w:r>
            <w:r>
              <w:t xml:space="preserve">,</w:t>
            </w:r>
            <w:r>
              <w:t xml:space="preserve"> </w:t>
            </w:r>
            <w:r>
              <w:rPr>
                <w:rStyle w:val="VerbatimChar"/>
              </w:rPr>
              <w:t xml:space="preserve">gamesPlayer1</w:t>
            </w:r>
            <w:r>
              <w:t xml:space="preserve">/</w:t>
            </w:r>
            <w:r>
              <w:rPr>
                <w:rStyle w:val="VerbatimChar"/>
              </w:rPr>
              <w:t xml:space="preserve">gamesPlayer2</w:t>
            </w:r>
            <w:r>
              <w:t xml:space="preserve">,</w:t>
            </w:r>
            <w:r>
              <w:t xml:space="preserve"> </w:t>
            </w:r>
            <w:r>
              <w:rPr>
                <w:rStyle w:val="VerbatimChar"/>
              </w:rPr>
              <w:t xml:space="preserve">setsPlayer1</w:t>
            </w:r>
            <w:r>
              <w:t xml:space="preserve">/</w:t>
            </w:r>
            <w:r>
              <w:rPr>
                <w:rStyle w:val="VerbatimChar"/>
              </w:rPr>
              <w:t xml:space="preserve">setsPlayer2</w:t>
            </w:r>
            <w:r>
              <w:t xml:space="preserve"> </w:t>
            </w:r>
            <w:r>
              <w:t xml:space="preserve">(jeweils ganze Zahl ≥ 0),</w:t>
            </w:r>
            <w:r>
              <w:t xml:space="preserve"> </w:t>
            </w:r>
            <w:r>
              <w:rPr>
                <w:rStyle w:val="VerbatimChar"/>
              </w:rPr>
              <w:t xml:space="preserve">currentSet</w:t>
            </w:r>
            <w:r>
              <w:t xml:space="preserve"> </w:t>
            </w:r>
            <w:r>
              <w:t xml:space="preserve">(ganze Zahl ≥ 1),</w:t>
            </w:r>
            <w:r>
              <w:t xml:space="preserve"> </w:t>
            </w:r>
            <w:r>
              <w:rPr>
                <w:rStyle w:val="VerbatimChar"/>
              </w:rPr>
              <w:t xml:space="preserve">isDeuce</w:t>
            </w:r>
            <w:r>
              <w:t xml:space="preserve"> </w:t>
            </w:r>
            <w:r>
              <w:t xml:space="preserve">und</w:t>
            </w:r>
            <w:r>
              <w:t xml:space="preserve"> </w:t>
            </w:r>
            <w:r>
              <w:rPr>
                <w:rStyle w:val="VerbatimChar"/>
              </w:rPr>
              <w:t xml:space="preserve">isDone</w:t>
            </w:r>
            <w:r>
              <w:t xml:space="preserve"> </w:t>
            </w:r>
            <w:r>
              <w:t xml:space="preserve">(boolean). Optionalfelder:</w:t>
            </w:r>
            <w:r>
              <w:t xml:space="preserve"> </w:t>
            </w:r>
            <w:r>
              <w:rPr>
                <w:rStyle w:val="VerbatimChar"/>
              </w:rPr>
              <w:t xml:space="preserve">isAdvantagePlayer1</w:t>
            </w:r>
            <w:r>
              <w:t xml:space="preserve"> </w:t>
            </w:r>
            <w:r>
              <w:t xml:space="preserve">(boolean, nullable),</w:t>
            </w:r>
            <w:r>
              <w:t xml:space="preserve"> </w:t>
            </w:r>
            <w:r>
              <w:rPr>
                <w:rStyle w:val="VerbatimChar"/>
              </w:rPr>
              <w:t xml:space="preserve">winner</w:t>
            </w:r>
            <w:r>
              <w:t xml:space="preserve"> </w:t>
            </w:r>
            <w:r>
              <w:t xml:space="preserve">(</w:t>
            </w:r>
            <w:r>
              <w:rPr>
                <w:rStyle w:val="VerbatimChar"/>
              </w:rPr>
              <w:t xml:space="preserve">PLAYER1</w:t>
            </w:r>
            <w:r>
              <w:t xml:space="preserve">/</w:t>
            </w:r>
            <w:r>
              <w:rPr>
                <w:rStyle w:val="VerbatimChar"/>
              </w:rPr>
              <w:t xml:space="preserve">PLAYER2</w:t>
            </w:r>
            <w:r>
              <w:t xml:space="preserve"> </w:t>
            </w:r>
            <w:r>
              <w:t xml:space="preserve">oder leer). Der Match-Status wird mit</w:t>
            </w:r>
            <w:r>
              <w:t xml:space="preserve"> </w:t>
            </w:r>
            <w:r>
              <w:rPr>
                <w:rStyle w:val="VerbatimChar"/>
              </w:rPr>
              <w:t xml:space="preserve">isDone</w:t>
            </w:r>
            <w:r>
              <w:t xml:space="preserve"> </w:t>
            </w:r>
            <w:r>
              <w:t xml:space="preserve">synchronisiert: ein entschiedener Stand setzt das Match auf</w:t>
            </w:r>
            <w:r>
              <w:t xml:space="preserve"> </w:t>
            </w:r>
            <w:r>
              <w:rPr>
                <w:rStyle w:val="VerbatimChar"/>
              </w:rPr>
              <w:t xml:space="preserve">COMPLETED</w:t>
            </w:r>
            <w:r>
              <w:t xml:space="preserve">, ein nicht mehr entschiedener Stand öffnet ein zuvor abgeschlossenes Match wieder auf</w:t>
            </w:r>
            <w:r>
              <w:t xml:space="preserve"> </w:t>
            </w:r>
            <w:r>
              <w:rPr>
                <w:rStyle w:val="VerbatimChar"/>
              </w:rPr>
              <w:t xml:space="preserve">IN_PROGRESS</w:t>
            </w:r>
            <w:r>
              <w:t xml:space="preserve">. Bei Erfolg antwortet das API mit HTTP 200 und dem korrigierten Spielstand. Ein unbekanntes Match wird mit HTTP 404, Wertebereichsverletzungen (negative Werte,</w:t>
            </w:r>
            <w:r>
              <w:t xml:space="preserve"> </w:t>
            </w:r>
            <w:r>
              <w:rPr>
                <w:rStyle w:val="VerbatimChar"/>
              </w:rPr>
              <w:t xml:space="preserve">currentSet</w:t>
            </w:r>
            <w:r>
              <w:t xml:space="preserve"> </w:t>
            </w:r>
            <w:r>
              <w:t xml:space="preserve">&lt; 1, ungültiger</w:t>
            </w:r>
            <w:r>
              <w:t xml:space="preserve"> </w:t>
            </w:r>
            <w:r>
              <w:rPr>
                <w:rStyle w:val="VerbatimChar"/>
              </w:rPr>
              <w:t xml:space="preserve">winner</w:t>
            </w:r>
            <w:r>
              <w:t xml:space="preserve">) mit HTTP 400 abgewiesen. Die Antwort erfolgt innerhalb von 250 ms.</w:t>
            </w:r>
          </w:p>
        </w:tc>
        <w:tc>
          <w:tcPr/>
          <w:p>
            <w:pPr>
              <w:pStyle w:val="Compact"/>
            </w:pPr>
            <w:r>
              <w:t xml:space="preserve">V1</w:t>
            </w:r>
          </w:p>
        </w:tc>
      </w:tr>
      <w:tr>
        <w:tc>
          <w:tcPr/>
          <w:p>
            <w:pPr>
              <w:pStyle w:val="Compact"/>
            </w:pPr>
            <w:r>
              <w:t xml:space="preserve">FA-16</w:t>
            </w:r>
          </w:p>
        </w:tc>
        <w:tc>
          <w:tcPr/>
          <w:p>
            <w:pPr>
              <w:pStyle w:val="Compact"/>
            </w:pPr>
            <w:r>
              <w:rPr>
                <w:b/>
                <w:bCs/>
              </w:rPr>
              <w:t xml:space="preserve">Aufschläger setzen</w:t>
            </w:r>
          </w:p>
        </w:tc>
        <w:tc>
          <w:tcPr/>
          <w:p>
            <w:pPr>
              <w:pStyle w:val="Compact"/>
            </w:pPr>
            <w:r>
              <w:t xml:space="preserve">Während eines laufenden Matches kann ein authentifizierter Benutzer über</w:t>
            </w:r>
            <w:r>
              <w:t xml:space="preserve"> </w:t>
            </w:r>
            <w:r>
              <w:rPr>
                <w:rStyle w:val="VerbatimChar"/>
              </w:rPr>
              <w:t xml:space="preserve">POST /api/matches/{id}/serve/player1</w:t>
            </w:r>
            <w:r>
              <w:t xml:space="preserve"> </w:t>
            </w:r>
            <w:r>
              <w:t xml:space="preserve">bzw.</w:t>
            </w:r>
            <w:r>
              <w:t xml:space="preserve"> </w:t>
            </w:r>
            <w:r>
              <w:rPr>
                <w:rStyle w:val="VerbatimChar"/>
              </w:rPr>
              <w:t xml:space="preserve">POST /api/matches/{id}/serve/player2</w:t>
            </w:r>
            <w:r>
              <w:t xml:space="preserve"> </w:t>
            </w:r>
            <w:r>
              <w:t xml:space="preserve">festlegen, welcher Spieler aktuell aufschlägt (kein Request-Body). Der gesetzte Aufschläger (</w:t>
            </w:r>
            <w:r>
              <w:rPr>
                <w:rStyle w:val="VerbatimChar"/>
              </w:rPr>
              <w:t xml:space="preserve">servingPlayer</w:t>
            </w:r>
            <w:r>
              <w:t xml:space="preserve"> </w:t>
            </w:r>
            <w:r>
              <w:t xml:space="preserve">= 1 oder 2) ist Grundlage der Break-Point-Erkennung bei der Punkterfassung (FA-06). Bei Erfolg antwortet das API mit HTTP 200 und dem aktuellen Spielstand. Das Setzen des Aufschlägers auf einem bereits abgeschlossenen Match wird mit HTTP 409, ein unbekanntes Match mit HTTP 404 abgewiesen. Die Antwort erfolgt innerhalb von 250 ms.</w:t>
            </w:r>
          </w:p>
        </w:tc>
        <w:tc>
          <w:tcPr/>
          <w:p>
            <w:pPr>
              <w:pStyle w:val="Compact"/>
            </w:pPr>
            <w:r>
              <w:t xml:space="preserve">V1</w:t>
            </w:r>
          </w:p>
        </w:tc>
      </w:tr>
      <w:tr>
        <w:tc>
          <w:tcPr/>
          <w:p>
            <w:pPr>
              <w:pStyle w:val="Compact"/>
            </w:pPr>
            <w:r>
              <w:t xml:space="preserve">FA-17</w:t>
            </w:r>
          </w:p>
        </w:tc>
        <w:tc>
          <w:tcPr/>
          <w:p>
            <w:pPr>
              <w:pStyle w:val="Compact"/>
            </w:pPr>
            <w:r>
              <w:rPr>
                <w:b/>
                <w:bCs/>
              </w:rPr>
              <w:t xml:space="preserve">Match-Statistik (einzelnes Match)</w:t>
            </w:r>
          </w:p>
        </w:tc>
        <w:tc>
          <w:tcPr/>
          <w:p>
            <w:pPr>
              <w:pStyle w:val="Compact"/>
            </w:pPr>
            <w:r>
              <w:t xml:space="preserve">Ein authentifizierter Benutzer kann über</w:t>
            </w:r>
            <w:r>
              <w:t xml:space="preserve"> </w:t>
            </w:r>
            <w:r>
              <w:rPr>
                <w:rStyle w:val="VerbatimChar"/>
              </w:rPr>
              <w:t xml:space="preserve">GET /api/matches/{id}/statistics</w:t>
            </w:r>
            <w:r>
              <w:t xml:space="preserve"> </w:t>
            </w:r>
            <w:r>
              <w:t xml:space="preserve">die aggregierte Statistik eines einzelnen Matches abrufen (ergänzend zur matchübergreifenden Head-to-Head-Statistik aus FA-08). Die Antwort enthält</w:t>
            </w:r>
            <w:r>
              <w:t xml:space="preserve"> </w:t>
            </w:r>
            <w:r>
              <w:rPr>
                <w:rStyle w:val="VerbatimChar"/>
              </w:rPr>
              <w:t xml:space="preserve">matchId</w:t>
            </w:r>
            <w:r>
              <w:t xml:space="preserve">,</w:t>
            </w:r>
            <w:r>
              <w:t xml:space="preserve"> </w:t>
            </w:r>
            <w:r>
              <w:rPr>
                <w:rStyle w:val="VerbatimChar"/>
              </w:rPr>
              <w:t xml:space="preserve">totalPoints</w:t>
            </w:r>
            <w:r>
              <w:t xml:space="preserve"> </w:t>
            </w:r>
            <w:r>
              <w:t xml:space="preserve">sowie für beide Spieler die Kennzahlen: gewonnene Punkte, Winners, Unforced/Forced Errors, Aces, Double Faults, First-/Second-Serve-Prozent, gewonnene und gespielte Break Points sowie den Vorhand-Anteil an allen Schlägen. Ein unbekanntes Match wird mit HTTP 404 abgewiesen. Die Antwort erfolgt innerhalb von 500 ms.</w:t>
            </w:r>
          </w:p>
        </w:tc>
        <w:tc>
          <w:tcPr/>
          <w:p>
            <w:pPr>
              <w:pStyle w:val="Compact"/>
            </w:pPr>
            <w:r>
              <w:t xml:space="preserve">V1</w:t>
            </w:r>
          </w:p>
        </w:tc>
      </w:tr>
      <w:tr>
        <w:tc>
          <w:tcPr/>
          <w:p>
            <w:pPr>
              <w:pStyle w:val="Compact"/>
            </w:pPr>
            <w:r>
              <w:t xml:space="preserve">FA-18</w:t>
            </w:r>
          </w:p>
        </w:tc>
        <w:tc>
          <w:tcPr/>
          <w:p>
            <w:pPr>
              <w:pStyle w:val="Compact"/>
            </w:pPr>
            <w:r>
              <w:rPr>
                <w:b/>
                <w:bCs/>
              </w:rPr>
              <w:t xml:space="preserve">DSGVO Art. 20 — Datenexport</w:t>
            </w:r>
          </w:p>
        </w:tc>
        <w:tc>
          <w:tcPr/>
          <w:p>
            <w:pPr>
              <w:pStyle w:val="Compact"/>
            </w:pPr>
            <w:r>
              <w:t xml:space="preserve">Ein authentifizierter Benutzer kann über</w:t>
            </w:r>
            <w:r>
              <w:t xml:space="preserve"> </w:t>
            </w:r>
            <w:r>
              <w:rPr>
                <w:rStyle w:val="VerbatimChar"/>
              </w:rPr>
              <w:t xml:space="preserve">GET /api/dataexport/export</w:t>
            </w:r>
            <w:r>
              <w:t xml:space="preserve"> </w:t>
            </w:r>
            <w:r>
              <w:t xml:space="preserve">einen vollständigen JSON-Snapshot seiner Daten abrufen (Header mit</w:t>
            </w:r>
            <w:r>
              <w:t xml:space="preserve"> </w:t>
            </w:r>
            <w:r>
              <w:rPr>
                <w:rStyle w:val="VerbatimChar"/>
              </w:rPr>
              <w:t xml:space="preserve">userId</w:t>
            </w:r>
            <w:r>
              <w:t xml:space="preserve">/</w:t>
            </w:r>
            <w:r>
              <w:rPr>
                <w:rStyle w:val="VerbatimChar"/>
              </w:rPr>
              <w:t xml:space="preserve">exportedAt</w:t>
            </w:r>
            <w:r>
              <w:t xml:space="preserve">/</w:t>
            </w:r>
            <w:r>
              <w:rPr>
                <w:rStyle w:val="VerbatimChar"/>
              </w:rPr>
              <w:t xml:space="preserve">format</w:t>
            </w:r>
            <w:r>
              <w:t xml:space="preserve">, plus die Arrays</w:t>
            </w:r>
            <w:r>
              <w:t xml:space="preserve"> </w:t>
            </w:r>
            <w:r>
              <w:rPr>
                <w:rStyle w:val="VerbatimChar"/>
              </w:rPr>
              <w:t xml:space="preserve">players</w:t>
            </w:r>
            <w:r>
              <w:t xml:space="preserve">,</w:t>
            </w:r>
            <w:r>
              <w:t xml:space="preserve"> </w:t>
            </w:r>
            <w:r>
              <w:rPr>
                <w:rStyle w:val="VerbatimChar"/>
              </w:rPr>
              <w:t xml:space="preserve">matches</w:t>
            </w:r>
            <w:r>
              <w:t xml:space="preserve">,</w:t>
            </w:r>
            <w:r>
              <w:t xml:space="preserve"> </w:t>
            </w:r>
            <w:r>
              <w:rPr>
                <w:rStyle w:val="VerbatimChar"/>
              </w:rPr>
              <w:t xml:space="preserve">points</w:t>
            </w:r>
            <w:r>
              <w:t xml:space="preserve">,</w:t>
            </w:r>
            <w:r>
              <w:t xml:space="preserve"> </w:t>
            </w:r>
            <w:r>
              <w:rPr>
                <w:rStyle w:val="VerbatimChar"/>
              </w:rPr>
              <w:t xml:space="preserve">scores</w:t>
            </w:r>
            <w:r>
              <w:t xml:space="preserve">,</w:t>
            </w:r>
            <w:r>
              <w:t xml:space="preserve"> </w:t>
            </w:r>
            <w:r>
              <w:rPr>
                <w:rStyle w:val="VerbatimChar"/>
              </w:rPr>
              <w:t xml:space="preserve">analyses</w:t>
            </w:r>
            <w:r>
              <w:t xml:space="preserve">). Filter: ausschliesslich Aggregate mit</w:t>
            </w:r>
            <w:r>
              <w:t xml:space="preserve"> </w:t>
            </w:r>
            <w:r>
              <w:rPr>
                <w:rStyle w:val="VerbatimChar"/>
              </w:rPr>
              <w:t xml:space="preserve">owner_id = currentUser.sub</w:t>
            </w:r>
            <w:r>
              <w:t xml:space="preserve"> </w:t>
            </w:r>
            <w:r>
              <w:t xml:space="preserve">bzw. die zugehörigen</w:t>
            </w:r>
            <w:r>
              <w:t xml:space="preserve"> </w:t>
            </w:r>
            <w:r>
              <w:rPr>
                <w:rStyle w:val="VerbatimChar"/>
              </w:rPr>
              <w:t xml:space="preserve">match_id</w:t>
            </w:r>
            <w:r>
              <w:t xml:space="preserve">-Kindzeilen. Im Frontend (Toolbar → Benutzermenü → „Daten exportieren”) wird die Antwort als</w:t>
            </w:r>
            <w:r>
              <w:t xml:space="preserve"> </w:t>
            </w:r>
            <w:r>
              <w:rPr>
                <w:rStyle w:val="VerbatimChar"/>
              </w:rPr>
              <w:t xml:space="preserve">tsas-export-YYYY-MM-DD.json</w:t>
            </w:r>
            <w:r>
              <w:t xml:space="preserve"> </w:t>
            </w:r>
            <w:r>
              <w:t xml:space="preserve">heruntergeladen. Die Antwort erfolgt innerhalb von 5 s, auch bei mehreren hundert Punkten.</w:t>
            </w:r>
          </w:p>
        </w:tc>
        <w:tc>
          <w:tcPr/>
          <w:p>
            <w:pPr>
              <w:pStyle w:val="Compact"/>
            </w:pPr>
            <w:r>
              <w:t xml:space="preserve">V1</w:t>
            </w:r>
          </w:p>
        </w:tc>
      </w:tr>
      <w:tr>
        <w:tc>
          <w:tcPr/>
          <w:p>
            <w:pPr>
              <w:pStyle w:val="Compact"/>
            </w:pPr>
            <w:r>
              <w:t xml:space="preserve">FA-19</w:t>
            </w:r>
          </w:p>
        </w:tc>
        <w:tc>
          <w:tcPr/>
          <w:p>
            <w:pPr>
              <w:pStyle w:val="Compact"/>
            </w:pPr>
            <w:r>
              <w:rPr>
                <w:b/>
                <w:bCs/>
              </w:rPr>
              <w:t xml:space="preserve">DSGVO Art. 17 — Recht auf Löschung</w:t>
            </w:r>
          </w:p>
        </w:tc>
        <w:tc>
          <w:tcPr/>
          <w:p>
            <w:pPr>
              <w:pStyle w:val="Compact"/>
            </w:pPr>
            <w:r>
              <w:t xml:space="preserve">Ein authentifizierter Benutzer kann über</w:t>
            </w:r>
            <w:r>
              <w:t xml:space="preserve"> </w:t>
            </w:r>
            <w:r>
              <w:rPr>
                <w:rStyle w:val="VerbatimChar"/>
              </w:rPr>
              <w:t xml:space="preserve">DELETE /api/dataexport</w:t>
            </w:r>
            <w:r>
              <w:t xml:space="preserve"> </w:t>
            </w:r>
            <w:r>
              <w:t xml:space="preserve">alle eigenen Aggregate löschen lassen. Die Operation läuft in einer einzigen Transaktion und folgt der Foreign-Key-Reihenfolge:</w:t>
            </w:r>
            <w:r>
              <w:t xml:space="preserve"> </w:t>
            </w:r>
            <w:r>
              <w:rPr>
                <w:rStyle w:val="VerbatimChar"/>
              </w:rPr>
              <w:t xml:space="preserve">points</w:t>
            </w:r>
            <w:r>
              <w:t xml:space="preserve"> </w:t>
            </w:r>
            <w:r>
              <w:t xml:space="preserve">→</w:t>
            </w:r>
            <w:r>
              <w:t xml:space="preserve"> </w:t>
            </w:r>
            <w:r>
              <w:rPr>
                <w:rStyle w:val="VerbatimChar"/>
              </w:rPr>
              <w:t xml:space="preserve">match_scores</w:t>
            </w:r>
            <w:r>
              <w:t xml:space="preserve"> </w:t>
            </w:r>
            <w:r>
              <w:t xml:space="preserve">→</w:t>
            </w:r>
            <w:r>
              <w:t xml:space="preserve"> </w:t>
            </w:r>
            <w:r>
              <w:rPr>
                <w:rStyle w:val="VerbatimChar"/>
              </w:rPr>
              <w:t xml:space="preserve">match_analysis</w:t>
            </w:r>
            <w:r>
              <w:t xml:space="preserve"> </w:t>
            </w:r>
            <w:r>
              <w:t xml:space="preserve">(cascade) →</w:t>
            </w:r>
            <w:r>
              <w:t xml:space="preserve"> </w:t>
            </w:r>
            <w:r>
              <w:rPr>
                <w:rStyle w:val="VerbatimChar"/>
              </w:rPr>
              <w:t xml:space="preserve">matches</w:t>
            </w:r>
            <w:r>
              <w:t xml:space="preserve"> </w:t>
            </w:r>
            <w:r>
              <w:t xml:space="preserve">→</w:t>
            </w:r>
            <w:r>
              <w:t xml:space="preserve"> </w:t>
            </w:r>
            <w:r>
              <w:rPr>
                <w:rStyle w:val="VerbatimChar"/>
              </w:rPr>
              <w:t xml:space="preserve">players</w:t>
            </w:r>
            <w:r>
              <w:t xml:space="preserve">. Antwort HTTP 200 mit</w:t>
            </w:r>
            <w:r>
              <w:t xml:space="preserve"> </w:t>
            </w:r>
            <w:r>
              <w:rPr>
                <w:rStyle w:val="VerbatimChar"/>
              </w:rPr>
              <w:t xml:space="preserve">{userId, players, matches, points, scores}</w:t>
            </w:r>
            <w:r>
              <w:t xml:space="preserve">-Counts. Idempotent (zweiter Aufruf liefert 0-Counts). Im Frontend (Toolbar → Benutzermenü → „Konto-Daten löschen”) mit Bestätigungsdialog; nach Erfolg Page-Reload. Das Keycloak-Konto bleibt bestehen und wird ggf. separat in der Admin-Konsole gelöscht. Die Antwort erfolgt innerhalb von 5 s, auch bei mehreren hundert Punkten.</w:t>
            </w:r>
          </w:p>
        </w:tc>
        <w:tc>
          <w:tcPr/>
          <w:p>
            <w:pPr>
              <w:pStyle w:val="Compact"/>
            </w:pPr>
            <w:r>
              <w:t xml:space="preserve">V1</w:t>
            </w:r>
          </w:p>
        </w:tc>
      </w:tr>
      <w:tr>
        <w:tc>
          <w:tcPr/>
          <w:p>
            <w:pPr>
              <w:pStyle w:val="Compact"/>
            </w:pPr>
            <w:r>
              <w:t xml:space="preserve">FA-20</w:t>
            </w:r>
          </w:p>
        </w:tc>
        <w:tc>
          <w:tcPr/>
          <w:p>
            <w:pPr>
              <w:pStyle w:val="Compact"/>
            </w:pPr>
            <w:r>
              <w:rPr>
                <w:b/>
                <w:bCs/>
              </w:rPr>
              <w:t xml:space="preserve">KI-Vorbereitung gegen einen Gegner (Head-to-Head)</w:t>
            </w:r>
          </w:p>
        </w:tc>
        <w:tc>
          <w:tcPr/>
          <w:p>
            <w:pPr>
              <w:pStyle w:val="Compact"/>
            </w:pPr>
            <w:r>
              <w:t xml:space="preserve">Ein authentifizierter Benutzer kann über</w:t>
            </w:r>
            <w:r>
              <w:t xml:space="preserve"> </w:t>
            </w:r>
            <w:r>
              <w:rPr>
                <w:rStyle w:val="VerbatimChar"/>
              </w:rPr>
              <w:t xml:space="preserve">POST /api/players/{ownPlayerId}/opponent-preparation/{opponentId}</w:t>
            </w:r>
            <w:r>
              <w:t xml:space="preserve"> </w:t>
            </w:r>
            <w:r>
              <w:t xml:space="preserve">eine vorausschauende taktische Vorbereitung für den eigenen Spieler gegen einen Gegner generieren. Das Backend lädt beide Spieler-Profile (Name, Ranking, Handedness, Backhand-Typ), aggregiert die Head-to-Head-Statistik aus FA-08 (</w:t>
            </w:r>
            <w:r>
              <w:rPr>
                <w:rStyle w:val="VerbatimChar"/>
              </w:rPr>
              <w:t xml:space="preserve">ComputeHeadToHeadStatisticsUseCase</w:t>
            </w:r>
            <w:r>
              <w:t xml:space="preserve">), baut einen Prompt aus Spieler-Metadaten und kumulierten Head-to-Head-Kennzahlen je Spieler (Aufschlag-/Return-Werte, Breakpoints, Winners/UE) und ruft via Spring AI ein LLM (Default OpenAI</w:t>
            </w:r>
            <w:r>
              <w:t xml:space="preserve"> </w:t>
            </w:r>
            <w:r>
              <w:rPr>
                <w:rStyle w:val="VerbatimChar"/>
              </w:rPr>
              <w:t xml:space="preserve">gpt-4o-mini</w:t>
            </w:r>
            <w:r>
              <w:t xml:space="preserve">). Die Antwort enthält vier strukturierte Textfelder (</w:t>
            </w:r>
            <w:r>
              <w:rPr>
                <w:rStyle w:val="VerbatimChar"/>
              </w:rPr>
              <w:t xml:space="preserve">opponentProfile</w:t>
            </w:r>
            <w:r>
              <w:t xml:space="preserve">,</w:t>
            </w:r>
            <w:r>
              <w:t xml:space="preserve"> </w:t>
            </w:r>
            <w:r>
              <w:rPr>
                <w:rStyle w:val="VerbatimChar"/>
              </w:rPr>
              <w:t xml:space="preserve">tacticalObservations</w:t>
            </w:r>
            <w:r>
              <w:t xml:space="preserve">,</w:t>
            </w:r>
            <w:r>
              <w:t xml:space="preserve"> </w:t>
            </w:r>
            <w:r>
              <w:rPr>
                <w:rStyle w:val="VerbatimChar"/>
              </w:rPr>
              <w:t xml:space="preserve">serveStrategy</w:t>
            </w:r>
            <w:r>
              <w:t xml:space="preserve">,</w:t>
            </w:r>
            <w:r>
              <w:t xml:space="preserve"> </w:t>
            </w:r>
            <w:r>
              <w:rPr>
                <w:rStyle w:val="VerbatimChar"/>
              </w:rPr>
              <w:t xml:space="preserve">returnStrategy</w:t>
            </w:r>
            <w:r>
              <w:t xml:space="preserve">) und 3–5 priorisierte Empfehlungen. Im Gegensatz zur FA-11-Postmortem-Analyse wird das Ergebnis</w:t>
            </w:r>
            <w:r>
              <w:t xml:space="preserve"> </w:t>
            </w:r>
            <w:r>
              <w:t xml:space="preserve">nicht persistiert</w:t>
            </w:r>
            <w:r>
              <w:t xml:space="preserve"> </w:t>
            </w:r>
            <w:r>
              <w:t xml:space="preserve">— der Head-to-Head-Stand ändert sich mit jedem neuen Match, eine gecachte Empfehlung wäre nach kurzer Zeit veraltet. Kostenkontrolle erfolgt über den gleichen Rate-Limiter wie FA-11 (siehe §7.1.3 / TEN-64). HTTP-Codes: 200 (erfolgreich), 400 (</w:t>
            </w:r>
            <w:r>
              <w:rPr>
                <w:rStyle w:val="VerbatimChar"/>
              </w:rPr>
              <w:t xml:space="preserve">ownPlayerId == opponentId</w:t>
            </w:r>
            <w:r>
              <w:t xml:space="preserve">), 404 (ein Spieler nicht gefunden oder gehört einem anderen Owner — IDOR-Schutz: bewusst 404 statt 403, damit fremde IDs nicht enumerierbar werden), 422 (kein gemeinsames abgeschlossenes Match), 429 (Rate-Limit), 502 (LLM-Fehler). Antwortzeit ≤ 60 s. Im Frontend ist der Aufruf direkt auf der Head-to-Head-Seite (</w:t>
            </w:r>
            <w:r>
              <w:rPr>
                <w:rStyle w:val="VerbatimChar"/>
              </w:rPr>
              <w:t xml:space="preserve">/statistics/head-to-head</w:t>
            </w:r>
            <w:r>
              <w:t xml:space="preserve">) verankert: ist mindestens ein gemeinsames Match vorhanden, erscheint unter der Statistik der Button „KI-Vorbereitung gegen</w:t>
            </w:r>
            <w:r>
              <w:t xml:space="preserve"> </w:t>
            </w:r>
            <w:r>
              <w:t xml:space="preserve"> </w:t>
            </w:r>
            <w:r>
              <w:t xml:space="preserve">anfordern” mit Spinner-Feedback; das Ergebnis wird darunter als Karte mit den vier Textfeldern und nummerierten Empfehlungen gerendert. Sprache: Deutsch.</w:t>
            </w:r>
          </w:p>
        </w:tc>
        <w:tc>
          <w:tcPr/>
          <w:p>
            <w:pPr>
              <w:pStyle w:val="Compact"/>
            </w:pPr>
            <w:r>
              <w:t xml:space="preserve">V2</w:t>
            </w:r>
          </w:p>
        </w:tc>
      </w:tr>
    </w:tbl>
    <w:bookmarkEnd w:id="72"/>
    <w:bookmarkStart w:id="73" w:name="nicht-funktionale-anforderungen-smart"/>
    <w:p>
      <w:pPr>
        <w:pStyle w:val="Heading3"/>
      </w:pPr>
      <w:r>
        <w:t xml:space="preserve">10.2 Nicht-funktionale Anforderungen (SMART)</w:t>
      </w:r>
    </w:p>
    <w:p>
      <w:pPr>
        <w:pStyle w:val="FirstParagraph"/>
      </w:pPr>
      <w:r>
        <w:t xml:space="preserve">Siehe Kapitel 1.2 Qualitätsziele für die übergreifenden SMART-Qualitätsziele (QZ-01 bis QZ-05). Ergänzende Anforderungen:</w:t>
      </w:r>
    </w:p>
    <w:tbl>
      <w:tblPr>
        <w:tblStyle w:val="Table"/>
        <w:tblW w:type="pct" w:w="5000"/>
        <w:tblLayout w:type="fixed"/>
        <w:tblLook w:firstRow="1" w:lastRow="0" w:firstColumn="0" w:lastColumn="0" w:noHBand="0" w:noVBand="0" w:val="0020"/>
      </w:tblPr>
      <w:tblGrid>
        <w:gridCol w:w="792"/>
        <w:gridCol w:w="3366"/>
        <w:gridCol w:w="3762"/>
      </w:tblGrid>
      <w:tr>
        <w:trPr>
          <w:tblHeader w:val="on"/>
        </w:trPr>
        <w:tc>
          <w:tcPr/>
          <w:p>
            <w:pPr>
              <w:pStyle w:val="Compact"/>
            </w:pPr>
            <w:r>
              <w:t xml:space="preserve">ID</w:t>
            </w:r>
          </w:p>
        </w:tc>
        <w:tc>
          <w:tcPr/>
          <w:p>
            <w:pPr>
              <w:pStyle w:val="Compact"/>
            </w:pPr>
            <w:r>
              <w:t xml:space="preserve">Qualitätsmerkmal</w:t>
            </w:r>
          </w:p>
        </w:tc>
        <w:tc>
          <w:tcPr/>
          <w:p>
            <w:pPr>
              <w:pStyle w:val="Compact"/>
            </w:pPr>
            <w:r>
              <w:t xml:space="preserve">SMART-Beschreibung</w:t>
            </w:r>
          </w:p>
        </w:tc>
      </w:tr>
      <w:tr>
        <w:tc>
          <w:tcPr/>
          <w:p>
            <w:pPr>
              <w:pStyle w:val="Compact"/>
            </w:pPr>
            <w:r>
              <w:t xml:space="preserve">NFA-01</w:t>
            </w:r>
          </w:p>
        </w:tc>
        <w:tc>
          <w:tcPr/>
          <w:p>
            <w:pPr>
              <w:pStyle w:val="Compact"/>
            </w:pPr>
            <w:r>
              <w:rPr>
                <w:b/>
                <w:bCs/>
              </w:rPr>
              <w:t xml:space="preserve">Skalierbarkeit</w:t>
            </w:r>
          </w:p>
        </w:tc>
        <w:tc>
          <w:tcPr/>
          <w:p>
            <w:pPr>
              <w:pStyle w:val="Compact"/>
            </w:pPr>
            <w:r>
              <w:t xml:space="preserve">Das System muss bei 100 gleichzeitigen Benutzern folgende Response-Time-Ziele einhalten (gemessen via Lasttest mit k6 oder JMeter, 95. Perzentil, serverseitig gemessen): Write-Endpunkte (POST/PUT/DELETE) ≤ 250 ms, Read-Endpunkte (GET) ≤ 500 ms. Der Durchsatz darf bei 100 gleichzeitigen Benutzern im Vergleich zu 10 gleichzeitigen Benutzern um maximal 20 % degradieren. Die Anforderung gilt als erfüllt, wenn ein dokumentierter Lasttest diese Werte nachweislich einhält.</w:t>
            </w:r>
          </w:p>
        </w:tc>
      </w:tr>
      <w:tr>
        <w:tc>
          <w:tcPr/>
          <w:p>
            <w:pPr>
              <w:pStyle w:val="Compact"/>
            </w:pPr>
            <w:r>
              <w:t xml:space="preserve">NFA-02</w:t>
            </w:r>
          </w:p>
        </w:tc>
        <w:tc>
          <w:tcPr/>
          <w:p>
            <w:pPr>
              <w:pStyle w:val="Compact"/>
            </w:pPr>
            <w:r>
              <w:rPr>
                <w:b/>
                <w:bCs/>
              </w:rPr>
              <w:t xml:space="preserve">Datensicherheit</w:t>
            </w:r>
          </w:p>
        </w:tc>
        <w:tc>
          <w:tcPr/>
          <w:p>
            <w:pPr>
              <w:pStyle w:val="Compact"/>
            </w:pPr>
            <w:r>
              <w:t xml:space="preserve">Benutzerpasswörter dürfen ausschliesslich als bcrypt-Hash (Cost Factor ≥ 12) in der Keycloak-Datenbank gespeichert werden; Klartext-Speicherung oder schwächere Hashing-Algorithmen sind verboten und werden im Security-Review geprüft. Alle externen Verbindungen (Browser ↔ Frontend, Frontend ↔ API, API ↔ Keycloak) müssen TLS 1.2 oder höher verwenden; TLS 1.0 und 1.1 müssen aktiv deaktiviert sein (verifizierbar via</w:t>
            </w:r>
            <w:r>
              <w:t xml:space="preserve"> </w:t>
            </w:r>
            <w:r>
              <w:rPr>
                <w:rStyle w:val="VerbatimChar"/>
              </w:rPr>
              <w:t xml:space="preserve">openssl s_client -connect &lt;host&gt;:&lt;port&gt;</w:t>
            </w:r>
            <w:r>
              <w:t xml:space="preserve">). Interne Container-zu-Container-Kommunikation (API ↔ PostgreSQL) erfolgt über das isolierte Docker-Netzwerk und ist von TLS-Pflicht ausgenommen.</w:t>
            </w:r>
          </w:p>
        </w:tc>
      </w:tr>
      <w:tr>
        <w:tc>
          <w:tcPr/>
          <w:p>
            <w:pPr>
              <w:pStyle w:val="Compact"/>
            </w:pPr>
            <w:r>
              <w:t xml:space="preserve">NFA-03</w:t>
            </w:r>
          </w:p>
        </w:tc>
        <w:tc>
          <w:tcPr/>
          <w:p>
            <w:pPr>
              <w:pStyle w:val="Compact"/>
            </w:pPr>
            <w:r>
              <w:rPr>
                <w:b/>
                <w:bCs/>
              </w:rPr>
              <w:t xml:space="preserve">Portabilität</w:t>
            </w:r>
          </w:p>
        </w:tc>
        <w:tc>
          <w:tcPr/>
          <w:p>
            <w:pPr>
              <w:pStyle w:val="Compact"/>
            </w:pPr>
            <w:r>
              <w:t xml:space="preserve">Die Applikation muss auf jeder Plattform lauffähig sein, die Docker Engine 24.0+ und Docker Compose v2.0+ unterstützt (Linux x86_64, macOS mit Apple Silicon via Rosetta 2, Windows mit WSL2). Der Start der gesamten Umgebung (</w:t>
            </w:r>
            <w:r>
              <w:rPr>
                <w:rStyle w:val="VerbatimChar"/>
              </w:rPr>
              <w:t xml:space="preserve">docker compose up</w:t>
            </w:r>
            <w:r>
              <w:t xml:space="preserve">) muss ohne manuelle Konfigurationsschritte möglich sein und innerhalb von 5 Minuten (bei erstmaligem Ausführen inklusive Image-Download) eine vollständig betriebsbereite Instanz liefern. Die Anforderung gilt als erfüllt, wenn das Setup auf mindestens zwei der genannten Plattformen erfolgreich verifiziert wurde.</w:t>
            </w:r>
          </w:p>
        </w:tc>
      </w:tr>
      <w:tr>
        <w:tc>
          <w:tcPr/>
          <w:p>
            <w:pPr>
              <w:pStyle w:val="Compact"/>
            </w:pPr>
            <w:r>
              <w:t xml:space="preserve">NFA-04</w:t>
            </w:r>
          </w:p>
        </w:tc>
        <w:tc>
          <w:tcPr/>
          <w:p>
            <w:pPr>
              <w:pStyle w:val="Compact"/>
            </w:pPr>
            <w:r>
              <w:rPr>
                <w:b/>
                <w:bCs/>
              </w:rPr>
              <w:t xml:space="preserve">Wiederherstellbarkeit</w:t>
            </w:r>
          </w:p>
        </w:tc>
        <w:tc>
          <w:tcPr/>
          <w:p>
            <w:pPr>
              <w:pStyle w:val="Compact"/>
            </w:pPr>
            <w:r>
              <w:t xml:space="preserve">Die PostgreSQL-Datenbank muss täglich automatisch gesichert werden (via</w:t>
            </w:r>
            <w:r>
              <w:t xml:space="preserve"> </w:t>
            </w:r>
            <w:r>
              <w:rPr>
                <w:rStyle w:val="VerbatimChar"/>
              </w:rPr>
              <w:t xml:space="preserve">pg_dump</w:t>
            </w:r>
            <w:r>
              <w:t xml:space="preserve">, komprimiert, gespeichert ausserhalb des Datenbank-Containers). Der maximal tolerable Datenverlust (RPO) beträgt 24 Stunden. Eine vollständige Wiederherstellung aus dem letzten erfolgreichen Backup muss innerhalb von 30 Minuten abgeschlossen sein (RTO = 30 min). Die Wiederherstellungsprozedur muss schriftlich dokumentiert und vor dem ersten Produktivbetrieb mindestens einmal erfolgreich getestet und protokolliert worden sein.</w:t>
            </w:r>
          </w:p>
        </w:tc>
      </w:tr>
    </w:tbl>
    <w:p>
      <w:r>
        <w:pict>
          <v:rect style="width:0;height:1.5pt" o:hralign="center" o:hrstd="t" o:hr="t"/>
        </w:pict>
      </w:r>
    </w:p>
    <w:bookmarkEnd w:id="73"/>
    <w:bookmarkEnd w:id="74"/>
    <w:bookmarkStart w:id="80" w:name="datenmodell"/>
    <w:p>
      <w:pPr>
        <w:pStyle w:val="Heading2"/>
      </w:pPr>
      <w:r>
        <w:t xml:space="preserve">11. Datenmodell</w:t>
      </w:r>
    </w:p>
    <w:p>
      <w:pPr>
        <w:pStyle w:val="FirstParagraph"/>
      </w:pPr>
      <w:r>
        <w:t xml:space="preserve">Das relationale Datenmodell bildet die Kernentitäten der Tennismatch-Dokumentation ab. Die folgende Abbildung zeigt das vollständige Datenbankmodell:</w:t>
      </w:r>
    </w:p>
    <w:p>
      <w:pPr>
        <w:pStyle w:val="CaptionedFigure"/>
      </w:pPr>
      <w:r>
        <w:drawing>
          <wp:inline>
            <wp:extent cx="5334000" cy="3765627"/>
            <wp:effectExtent b="0" l="0" r="0" t="0"/>
            <wp:docPr descr="TSaS – Datenmodell" title="" id="76" name="Picture"/>
            <a:graphic>
              <a:graphicData uri="http://schemas.openxmlformats.org/drawingml/2006/picture">
                <pic:pic>
                  <pic:nvPicPr>
                    <pic:cNvPr descr="Datenmodell.png" id="77" name="Picture"/>
                    <pic:cNvPicPr>
                      <a:picLocks noChangeArrowheads="1" noChangeAspect="1"/>
                    </pic:cNvPicPr>
                  </pic:nvPicPr>
                  <pic:blipFill>
                    <a:blip r:embed="rId75"/>
                    <a:stretch>
                      <a:fillRect/>
                    </a:stretch>
                  </pic:blipFill>
                  <pic:spPr bwMode="auto">
                    <a:xfrm>
                      <a:off x="0" y="0"/>
                      <a:ext cx="5334000" cy="3765627"/>
                    </a:xfrm>
                    <a:prstGeom prst="rect">
                      <a:avLst/>
                    </a:prstGeom>
                    <a:noFill/>
                    <a:ln w="9525">
                      <a:noFill/>
                      <a:headEnd/>
                      <a:tailEnd/>
                    </a:ln>
                  </pic:spPr>
                </pic:pic>
              </a:graphicData>
            </a:graphic>
          </wp:inline>
        </w:drawing>
      </w:r>
    </w:p>
    <w:p>
      <w:pPr>
        <w:pStyle w:val="ImageCaption"/>
      </w:pPr>
      <w:r>
        <w:t xml:space="preserve">TSaS – Datenmodell</w:t>
      </w:r>
    </w:p>
    <w:p>
      <w:pPr>
        <w:pStyle w:val="BodyText"/>
      </w:pPr>
      <w:r>
        <w:rPr>
          <w:i/>
          <w:iCs/>
        </w:rPr>
        <w:t xml:space="preserve">Quelle:</w:t>
      </w:r>
      <w:r>
        <w:rPr>
          <w:i/>
          <w:iCs/>
        </w:rPr>
        <w:t xml:space="preserve"> </w:t>
      </w:r>
      <w:hyperlink r:id="rId78">
        <w:r>
          <w:rPr>
            <w:rStyle w:val="VerbatimChar"/>
            <w:i/>
            <w:iCs/>
          </w:rPr>
          <w:t xml:space="preserve">diagrams/TSaS_Datenmodell.drawio</w:t>
        </w:r>
      </w:hyperlink>
      <w:r>
        <w:rPr>
          <w:i/>
          <w:iCs/>
        </w:rPr>
        <w:t xml:space="preserve">. Authoritatives Schema: Flyway-Migrationen V1–V5.</w:t>
      </w:r>
    </w:p>
    <w:bookmarkStart w:id="79" w:name="entitätenübersicht"/>
    <w:p>
      <w:pPr>
        <w:pStyle w:val="Heading3"/>
      </w:pPr>
      <w:r>
        <w:t xml:space="preserve">11.1 Entitätenübersicht</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Tabelle</w:t>
            </w:r>
          </w:p>
        </w:tc>
        <w:tc>
          <w:tcPr/>
          <w:p>
            <w:pPr>
              <w:pStyle w:val="Compact"/>
            </w:pPr>
            <w:r>
              <w:t xml:space="preserve">Beschreibung</w:t>
            </w:r>
          </w:p>
        </w:tc>
      </w:tr>
      <w:tr>
        <w:tc>
          <w:tcPr/>
          <w:p>
            <w:pPr>
              <w:pStyle w:val="Compact"/>
            </w:pPr>
            <w:r>
              <w:rPr>
                <w:rStyle w:val="VerbatimChar"/>
              </w:rPr>
              <w:t xml:space="preserve">players</w:t>
            </w:r>
          </w:p>
        </w:tc>
        <w:tc>
          <w:tcPr/>
          <w:p>
            <w:pPr>
              <w:pStyle w:val="Compact"/>
            </w:pPr>
            <w:r>
              <w:t xml:space="preserve">Spielerprofile (Name, Geschlecht, Spielhand, Backhand-Typ, Ranking, Nationalität, Geburtsdatum). Das</w:t>
            </w:r>
            <w:r>
              <w:t xml:space="preserve"> </w:t>
            </w:r>
            <w:r>
              <w:rPr>
                <w:rStyle w:val="VerbatimChar"/>
              </w:rPr>
              <w:t xml:space="preserve">active</w:t>
            </w:r>
            <w:r>
              <w:t xml:space="preserve">-Flag erlaubt das Deaktivieren (Soft-Delete) beteiligter Spieler ohne Verlust der Match-Historie (FA-13).</w:t>
            </w:r>
          </w:p>
        </w:tc>
      </w:tr>
      <w:tr>
        <w:tc>
          <w:tcPr/>
          <w:p>
            <w:pPr>
              <w:pStyle w:val="Compact"/>
            </w:pPr>
            <w:r>
              <w:rPr>
                <w:rStyle w:val="VerbatimChar"/>
              </w:rPr>
              <w:t xml:space="preserve">matches</w:t>
            </w:r>
          </w:p>
        </w:tc>
        <w:tc>
          <w:tcPr/>
          <w:p>
            <w:pPr>
              <w:pStyle w:val="Compact"/>
            </w:pPr>
            <w:r>
              <w:t xml:space="preserve">Begegnungen zwischen zwei Spielern (</w:t>
            </w:r>
            <w:r>
              <w:rPr>
                <w:rStyle w:val="VerbatimChar"/>
              </w:rPr>
              <w:t xml:space="preserve">player1_id</w:t>
            </w:r>
            <w:r>
              <w:t xml:space="preserve">/</w:t>
            </w:r>
            <w:r>
              <w:rPr>
                <w:rStyle w:val="VerbatimChar"/>
              </w:rPr>
              <w:t xml:space="preserve">player2_id</w:t>
            </w:r>
            <w:r>
              <w:t xml:space="preserve"> </w:t>
            </w:r>
            <w:r>
              <w:t xml:space="preserve">→</w:t>
            </w:r>
            <w:r>
              <w:t xml:space="preserve"> </w:t>
            </w:r>
            <w:r>
              <w:rPr>
                <w:rStyle w:val="VerbatimChar"/>
              </w:rPr>
              <w:t xml:space="preserve">players</w:t>
            </w:r>
            <w:r>
              <w:t xml:space="preserve">) mit Format (</w:t>
            </w:r>
            <w:r>
              <w:rPr>
                <w:rStyle w:val="VerbatimChar"/>
              </w:rPr>
              <w:t xml:space="preserve">sets_to_win</w:t>
            </w:r>
            <w:r>
              <w:t xml:space="preserve">,</w:t>
            </w:r>
            <w:r>
              <w:t xml:space="preserve"> </w:t>
            </w:r>
            <w:r>
              <w:rPr>
                <w:rStyle w:val="VerbatimChar"/>
              </w:rPr>
              <w:t xml:space="preserve">match_tiebreak</w:t>
            </w:r>
            <w:r>
              <w:t xml:space="preserve">,</w:t>
            </w:r>
            <w:r>
              <w:t xml:space="preserve"> </w:t>
            </w:r>
            <w:r>
              <w:rPr>
                <w:rStyle w:val="VerbatimChar"/>
              </w:rPr>
              <w:t xml:space="preserve">short_set</w:t>
            </w:r>
            <w:r>
              <w:t xml:space="preserve">) und</w:t>
            </w:r>
            <w:r>
              <w:t xml:space="preserve"> </w:t>
            </w:r>
            <w:r>
              <w:rPr>
                <w:rStyle w:val="VerbatimChar"/>
              </w:rPr>
              <w:t xml:space="preserve">status</w:t>
            </w:r>
            <w:r>
              <w:t xml:space="preserve"> </w:t>
            </w:r>
            <w:r>
              <w:t xml:space="preserve">(</w:t>
            </w:r>
            <w:r>
              <w:rPr>
                <w:rStyle w:val="VerbatimChar"/>
              </w:rPr>
              <w:t xml:space="preserve">IN_PROGRESS</w:t>
            </w:r>
            <w:r>
              <w:t xml:space="preserve">/</w:t>
            </w:r>
            <w:r>
              <w:rPr>
                <w:rStyle w:val="VerbatimChar"/>
              </w:rPr>
              <w:t xml:space="preserve">COMPLETED</w:t>
            </w:r>
            <w:r>
              <w:t xml:space="preserve">).</w:t>
            </w:r>
          </w:p>
        </w:tc>
      </w:tr>
      <w:tr>
        <w:tc>
          <w:tcPr/>
          <w:p>
            <w:pPr>
              <w:pStyle w:val="Compact"/>
            </w:pPr>
            <w:r>
              <w:rPr>
                <w:rStyle w:val="VerbatimChar"/>
              </w:rPr>
              <w:t xml:space="preserve">match_scores</w:t>
            </w:r>
          </w:p>
        </w:tc>
        <w:tc>
          <w:tcPr/>
          <w:p>
            <w:pPr>
              <w:pStyle w:val="Compact"/>
            </w:pPr>
            <w:r>
              <w:t xml:space="preserve">Aktueller Spielstand eines Matches (1:1 zu</w:t>
            </w:r>
            <w:r>
              <w:t xml:space="preserve"> </w:t>
            </w:r>
            <w:r>
              <w:rPr>
                <w:rStyle w:val="VerbatimChar"/>
              </w:rPr>
              <w:t xml:space="preserve">matches</w:t>
            </w:r>
            <w:r>
              <w:t xml:space="preserve">, UNIQUE</w:t>
            </w:r>
            <w:r>
              <w:t xml:space="preserve"> </w:t>
            </w:r>
            <w:r>
              <w:rPr>
                <w:rStyle w:val="VerbatimChar"/>
              </w:rPr>
              <w:t xml:space="preserve">match_id</w:t>
            </w:r>
            <w:r>
              <w:t xml:space="preserve">): Punkte/Games/Sätze beider Spieler, Einstand-/Vorteil-Flags, laufender Satz (</w:t>
            </w:r>
            <w:r>
              <w:rPr>
                <w:rStyle w:val="VerbatimChar"/>
              </w:rPr>
              <w:t xml:space="preserve">current_set</w:t>
            </w:r>
            <w:r>
              <w:t xml:space="preserve">), Aufschläger (</w:t>
            </w:r>
            <w:r>
              <w:rPr>
                <w:rStyle w:val="VerbatimChar"/>
              </w:rPr>
              <w:t xml:space="preserve">serving_player</w:t>
            </w:r>
            <w:r>
              <w:t xml:space="preserve">, FA-16), Ace-Zähler sowie</w:t>
            </w:r>
            <w:r>
              <w:t xml:space="preserve"> </w:t>
            </w:r>
            <w:r>
              <w:rPr>
                <w:rStyle w:val="VerbatimChar"/>
              </w:rPr>
              <w:t xml:space="preserve">is_done</w:t>
            </w:r>
            <w:r>
              <w:t xml:space="preserve"> </w:t>
            </w:r>
            <w:r>
              <w:t xml:space="preserve">mit</w:t>
            </w:r>
            <w:r>
              <w:t xml:space="preserve"> </w:t>
            </w:r>
            <w:r>
              <w:rPr>
                <w:rStyle w:val="VerbatimChar"/>
              </w:rPr>
              <w:t xml:space="preserve">winner</w:t>
            </w:r>
            <w:r>
              <w:t xml:space="preserve">.</w:t>
            </w:r>
          </w:p>
        </w:tc>
      </w:tr>
      <w:tr>
        <w:tc>
          <w:tcPr/>
          <w:p>
            <w:pPr>
              <w:pStyle w:val="Compact"/>
            </w:pPr>
            <w:r>
              <w:rPr>
                <w:rStyle w:val="VerbatimChar"/>
              </w:rPr>
              <w:t xml:space="preserve">points</w:t>
            </w:r>
          </w:p>
        </w:tc>
        <w:tc>
          <w:tcPr/>
          <w:p>
            <w:pPr>
              <w:pStyle w:val="Compact"/>
            </w:pPr>
            <w:r>
              <w:t xml:space="preserve">Einzelne Punkte (1:n zu</w:t>
            </w:r>
            <w:r>
              <w:t xml:space="preserve"> </w:t>
            </w:r>
            <w:r>
              <w:rPr>
                <w:rStyle w:val="VerbatimChar"/>
              </w:rPr>
              <w:t xml:space="preserve">matches</w:t>
            </w:r>
            <w:r>
              <w:t xml:space="preserve">): Satz-/Spiel-/Punktnummer, Gewinner, Punkt-/Schlag-/Richtungstyp, Aufschläger, Break-Point-Flag, Aufschlagversuch (1./2. Aufschlag), Bemerkung, Zeitstempel.</w:t>
            </w:r>
          </w:p>
        </w:tc>
      </w:tr>
      <w:tr>
        <w:tc>
          <w:tcPr/>
          <w:p>
            <w:pPr>
              <w:pStyle w:val="Compact"/>
            </w:pPr>
            <w:r>
              <w:rPr>
                <w:rStyle w:val="VerbatimChar"/>
              </w:rPr>
              <w:t xml:space="preserve">match_analysis</w:t>
            </w:r>
          </w:p>
        </w:tc>
        <w:tc>
          <w:tcPr/>
          <w:p>
            <w:pPr>
              <w:pStyle w:val="Compact"/>
            </w:pPr>
            <w:r>
              <w:t xml:space="preserve">KI-generierte taktische Analyse (1:1 zu</w:t>
            </w:r>
            <w:r>
              <w:t xml:space="preserve"> </w:t>
            </w:r>
            <w:r>
              <w:rPr>
                <w:rStyle w:val="VerbatimChar"/>
              </w:rPr>
              <w:t xml:space="preserve">matches</w:t>
            </w:r>
            <w:r>
              <w:t xml:space="preserve">, UNIQUE</w:t>
            </w:r>
            <w:r>
              <w:t xml:space="preserve"> </w:t>
            </w:r>
            <w:r>
              <w:rPr>
                <w:rStyle w:val="VerbatimChar"/>
              </w:rPr>
              <w:t xml:space="preserve">match_id</w:t>
            </w:r>
            <w:r>
              <w:t xml:space="preserve">,</w:t>
            </w:r>
            <w:r>
              <w:t xml:space="preserve"> </w:t>
            </w:r>
            <w:r>
              <w:rPr>
                <w:rStyle w:val="VerbatimChar"/>
              </w:rPr>
              <w:t xml:space="preserve">ON DELETE CASCADE</w:t>
            </w:r>
            <w:r>
              <w:t xml:space="preserve">): Status (PENDING/COMPLETED/FAILED), fünf Analyse-Textfelder, JSON-serialisierte Empfehlungsliste, verwendetes LLM-Modell, Generierungszeit, Fehlermeldung bei FAILED.</w:t>
            </w:r>
          </w:p>
        </w:tc>
      </w:tr>
    </w:tbl>
    <w:p>
      <w:pPr>
        <w:pStyle w:val="BlockText"/>
      </w:pPr>
      <w:r>
        <w:t xml:space="preserve">Sätze und Statistiken werden</w:t>
      </w:r>
      <w:r>
        <w:t xml:space="preserve"> </w:t>
      </w:r>
      <w:r>
        <w:rPr>
          <w:b/>
          <w:bCs/>
        </w:rPr>
        <w:t xml:space="preserve">nicht eigenständig persistiert</w:t>
      </w:r>
      <w:r>
        <w:t xml:space="preserve">: Der Satzstand ist Teil von</w:t>
      </w:r>
      <w:r>
        <w:t xml:space="preserve"> </w:t>
      </w:r>
      <w:r>
        <w:rPr>
          <w:rStyle w:val="VerbatimChar"/>
        </w:rPr>
        <w:t xml:space="preserve">match_scores</w:t>
      </w:r>
      <w:r>
        <w:t xml:space="preserve">, aggregierte Statistiken (Head-to-Head, Match-Statistik) werden zur Laufzeit aus</w:t>
      </w:r>
      <w:r>
        <w:t xml:space="preserve"> </w:t>
      </w:r>
      <w:r>
        <w:rPr>
          <w:rStyle w:val="VerbatimChar"/>
        </w:rPr>
        <w:t xml:space="preserve">points</w:t>
      </w:r>
      <w:r>
        <w:t xml:space="preserve"> </w:t>
      </w:r>
      <w:r>
        <w:t xml:space="preserve">berechnet. Es gibt daher keine</w:t>
      </w:r>
      <w:r>
        <w:t xml:space="preserve"> </w:t>
      </w:r>
      <w:r>
        <w:rPr>
          <w:rStyle w:val="VerbatimChar"/>
        </w:rPr>
        <w:t xml:space="preserve">match_set</w:t>
      </w:r>
      <w:r>
        <w:t xml:space="preserve">- oder</w:t>
      </w:r>
      <w:r>
        <w:t xml:space="preserve"> </w:t>
      </w:r>
      <w:r>
        <w:rPr>
          <w:rStyle w:val="VerbatimChar"/>
        </w:rPr>
        <w:t xml:space="preserve">match_stats</w:t>
      </w:r>
      <w:r>
        <w:t xml:space="preserve">-Tabelle.</w:t>
      </w:r>
    </w:p>
    <w:p>
      <w:r>
        <w:pict>
          <v:rect style="width:0;height:1.5pt" o:hralign="center" o:hrstd="t" o:hr="t"/>
        </w:pict>
      </w:r>
    </w:p>
    <w:bookmarkEnd w:id="79"/>
    <w:bookmarkEnd w:id="80"/>
    <w:bookmarkStart w:id="81" w:name="risiken-und-technische-schulden"/>
    <w:p>
      <w:pPr>
        <w:pStyle w:val="Heading2"/>
      </w:pPr>
      <w:r>
        <w:t xml:space="preserve">12. Risiken und technische Schulden</w:t>
      </w:r>
    </w:p>
    <w:tbl>
      <w:tblPr>
        <w:tblStyle w:val="Table"/>
        <w:tblW w:type="pct" w:w="5000"/>
        <w:tblLayout w:type="fixed"/>
        <w:tblLook w:firstRow="1" w:lastRow="0" w:firstColumn="0" w:lastColumn="0" w:noHBand="0" w:noVBand="0" w:val="0020"/>
      </w:tblPr>
      <w:tblGrid>
        <w:gridCol w:w="704"/>
        <w:gridCol w:w="1408"/>
        <w:gridCol w:w="1232"/>
        <w:gridCol w:w="4576"/>
      </w:tblGrid>
      <w:tr>
        <w:trPr>
          <w:tblHeader w:val="on"/>
        </w:trPr>
        <w:tc>
          <w:tcPr/>
          <w:p>
            <w:pPr>
              <w:pStyle w:val="Compact"/>
            </w:pPr>
            <w:r>
              <w:t xml:space="preserve">ID</w:t>
            </w:r>
          </w:p>
        </w:tc>
        <w:tc>
          <w:tcPr/>
          <w:p>
            <w:pPr>
              <w:pStyle w:val="Compact"/>
            </w:pPr>
            <w:r>
              <w:t xml:space="preserve">Risiko</w:t>
            </w:r>
          </w:p>
        </w:tc>
        <w:tc>
          <w:tcPr/>
          <w:p>
            <w:pPr>
              <w:pStyle w:val="Compact"/>
            </w:pPr>
            <w:r>
              <w:t xml:space="preserve">Thema</w:t>
            </w:r>
          </w:p>
        </w:tc>
        <w:tc>
          <w:tcPr/>
          <w:p>
            <w:pPr>
              <w:pStyle w:val="Compact"/>
            </w:pPr>
            <w:r>
              <w:t xml:space="preserve">Beschreibung / Mitigation</w:t>
            </w:r>
          </w:p>
        </w:tc>
      </w:tr>
      <w:tr>
        <w:tc>
          <w:tcPr/>
          <w:p>
            <w:pPr>
              <w:pStyle w:val="Compact"/>
            </w:pPr>
            <w:r>
              <w:t xml:space="preserve">R-01</w:t>
            </w:r>
          </w:p>
        </w:tc>
        <w:tc>
          <w:tcPr/>
          <w:p>
            <w:pPr>
              <w:pStyle w:val="Compact"/>
            </w:pPr>
            <w:r>
              <w:t xml:space="preserve">Niedrig</w:t>
            </w:r>
          </w:p>
        </w:tc>
        <w:tc>
          <w:tcPr/>
          <w:p>
            <w:pPr>
              <w:pStyle w:val="Compact"/>
            </w:pPr>
            <w:r>
              <w:rPr>
                <w:b/>
                <w:bCs/>
              </w:rPr>
              <w:t xml:space="preserve">Container-Skalierung</w:t>
            </w:r>
          </w:p>
        </w:tc>
        <w:tc>
          <w:tcPr/>
          <w:p>
            <w:pPr>
              <w:pStyle w:val="Compact"/>
            </w:pPr>
            <w:r>
              <w:t xml:space="preserve">Frontend (Nginx) und Backend (Spring Boot) laufen bereits in separaten Containern. Unabhängiges Skalieren ist damit grundsätzlich möglich. Bei hoher Last kann der Backend-Container horizontal skaliert werden; Nginx müsste dann als Load Balancer konfiguriert werden.</w:t>
            </w:r>
          </w:p>
        </w:tc>
      </w:tr>
      <w:tr>
        <w:tc>
          <w:tcPr/>
          <w:p>
            <w:pPr>
              <w:pStyle w:val="Compact"/>
            </w:pPr>
            <w:r>
              <w:t xml:space="preserve">R-02</w:t>
            </w:r>
          </w:p>
        </w:tc>
        <w:tc>
          <w:tcPr/>
          <w:p>
            <w:pPr>
              <w:pStyle w:val="Compact"/>
            </w:pPr>
            <w:r>
              <w:t xml:space="preserve">Mittel</w:t>
            </w:r>
          </w:p>
        </w:tc>
        <w:tc>
          <w:tcPr/>
          <w:p>
            <w:pPr>
              <w:pStyle w:val="Compact"/>
            </w:pPr>
            <w:r>
              <w:rPr>
                <w:b/>
                <w:bCs/>
              </w:rPr>
              <w:t xml:space="preserve">Keycloak-Komplexität</w:t>
            </w:r>
          </w:p>
        </w:tc>
        <w:tc>
          <w:tcPr/>
          <w:p>
            <w:pPr>
              <w:pStyle w:val="Compact"/>
            </w:pPr>
            <w:r>
              <w:t xml:space="preserve">Keycloak ist ein mächtiges Tool mit hohem Konfigurationsaufwand. Fehlkonfigurationen können zu Sicherheitslücken führen.</w:t>
            </w:r>
          </w:p>
        </w:tc>
      </w:tr>
      <w:tr>
        <w:tc>
          <w:tcPr/>
          <w:p>
            <w:pPr>
              <w:pStyle w:val="Compact"/>
            </w:pPr>
            <w:r>
              <w:t xml:space="preserve">R-03</w:t>
            </w:r>
          </w:p>
        </w:tc>
        <w:tc>
          <w:tcPr/>
          <w:p>
            <w:pPr>
              <w:pStyle w:val="Compact"/>
            </w:pPr>
            <w:r>
              <w:t xml:space="preserve">Mittel</w:t>
            </w:r>
          </w:p>
        </w:tc>
        <w:tc>
          <w:tcPr/>
          <w:p>
            <w:pPr>
              <w:pStyle w:val="Compact"/>
            </w:pPr>
            <w:r>
              <w:rPr>
                <w:b/>
                <w:bCs/>
              </w:rPr>
              <w:t xml:space="preserve">Swisstennis-API-Verfügbarkeit</w:t>
            </w:r>
          </w:p>
        </w:tc>
        <w:tc>
          <w:tcPr/>
          <w:p>
            <w:pPr>
              <w:pStyle w:val="Compact"/>
            </w:pPr>
            <w:r>
              <w:t xml:space="preserve">Die Integration in V4 hängt davon ab, ob Swisstennis eine API bereitstellt und den Zugriff genehmigt. Fallback: manuelle Dateneingabe.</w:t>
            </w:r>
          </w:p>
        </w:tc>
      </w:tr>
      <w:tr>
        <w:tc>
          <w:tcPr/>
          <w:p>
            <w:pPr>
              <w:pStyle w:val="Compact"/>
            </w:pPr>
            <w:r>
              <w:t xml:space="preserve">R-04</w:t>
            </w:r>
          </w:p>
        </w:tc>
        <w:tc>
          <w:tcPr/>
          <w:p>
            <w:pPr>
              <w:pStyle w:val="Compact"/>
            </w:pPr>
            <w:r>
              <w:t xml:space="preserve">Niedrig</w:t>
            </w:r>
          </w:p>
        </w:tc>
        <w:tc>
          <w:tcPr/>
          <w:p>
            <w:pPr>
              <w:pStyle w:val="Compact"/>
            </w:pPr>
            <w:r>
              <w:rPr>
                <w:b/>
                <w:bCs/>
              </w:rPr>
              <w:t xml:space="preserve">Performance bei grosser Datenmenge</w:t>
            </w:r>
          </w:p>
        </w:tc>
        <w:tc>
          <w:tcPr/>
          <w:p>
            <w:pPr>
              <w:pStyle w:val="Compact"/>
            </w:pPr>
            <w:r>
              <w:t xml:space="preserve">Bei vielen Matches und Punkten könnten Statistik-Berechnungen langsam werden. Mitigation: Indizes, Caching, ggf. materialized Views.</w:t>
            </w:r>
          </w:p>
        </w:tc>
      </w:tr>
      <w:tr>
        <w:tc>
          <w:tcPr/>
          <w:p>
            <w:pPr>
              <w:pStyle w:val="Compact"/>
            </w:pPr>
            <w:r>
              <w:t xml:space="preserve">R-05</w:t>
            </w:r>
          </w:p>
        </w:tc>
        <w:tc>
          <w:tcPr/>
          <w:p>
            <w:pPr>
              <w:pStyle w:val="Compact"/>
            </w:pPr>
            <w:r>
              <w:t xml:space="preserve">Mittel</w:t>
            </w:r>
          </w:p>
        </w:tc>
        <w:tc>
          <w:tcPr/>
          <w:p>
            <w:pPr>
              <w:pStyle w:val="Compact"/>
            </w:pPr>
            <w:r>
              <w:rPr>
                <w:b/>
                <w:bCs/>
              </w:rPr>
              <w:t xml:space="preserve">iOS-Doppelentwicklung</w:t>
            </w:r>
          </w:p>
        </w:tc>
        <w:tc>
          <w:tcPr/>
          <w:p>
            <w:pPr>
              <w:pStyle w:val="Compact"/>
            </w:pPr>
            <w:r>
              <w:t xml:space="preserve">Die geplante native iOS-App (Swift) in V2 bedeutet doppelte Frontend-Entwicklung. Alternative: Progressive Web App (PWA) evaluieren.</w:t>
            </w:r>
          </w:p>
        </w:tc>
      </w:tr>
      <w:tr>
        <w:tc>
          <w:tcPr/>
          <w:p>
            <w:pPr>
              <w:pStyle w:val="Compact"/>
            </w:pPr>
            <w:r>
              <w:t xml:space="preserve">R-06</w:t>
            </w:r>
          </w:p>
        </w:tc>
        <w:tc>
          <w:tcPr/>
          <w:p>
            <w:pPr>
              <w:pStyle w:val="Compact"/>
            </w:pPr>
            <w:r>
              <w:t xml:space="preserve">Mittel</w:t>
            </w:r>
          </w:p>
        </w:tc>
        <w:tc>
          <w:tcPr/>
          <w:p>
            <w:pPr>
              <w:pStyle w:val="Compact"/>
            </w:pPr>
            <w:r>
              <w:rPr>
                <w:b/>
                <w:bCs/>
              </w:rPr>
              <w:t xml:space="preserve">OpenAI-Kosten</w:t>
            </w:r>
          </w:p>
        </w:tc>
        <w:tc>
          <w:tcPr/>
          <w:p>
            <w:pPr>
              <w:pStyle w:val="Compact"/>
            </w:pPr>
            <w:r>
              <w:t xml:space="preserve">Jeder POST auf die KI-Analyse löst einen kostenpflichtigen API-Call aus. Manueller Trigger + Persistenz (eine Analyse pro Match, überschreibbar) begrenzen das Volumen, Mindest-Punktzahl (≥ 10) verhindert Calls auf datenarme Matches. Modell-Default</w:t>
            </w:r>
            <w:r>
              <w:t xml:space="preserve"> </w:t>
            </w:r>
            <w:r>
              <w:rPr>
                <w:rStyle w:val="VerbatimChar"/>
              </w:rPr>
              <w:t xml:space="preserve">gpt-4o-mini</w:t>
            </w:r>
            <w:r>
              <w:t xml:space="preserve"> </w:t>
            </w:r>
            <w:r>
              <w:t xml:space="preserve">für niedrige Kosten; Wechsel via Property möglich. Bei Bedarf späterer Wechsel auf lokales LLM (Ollama) via</w:t>
            </w:r>
            <w:r>
              <w:t xml:space="preserve"> </w:t>
            </w:r>
            <w:r>
              <w:rPr>
                <w:rStyle w:val="VerbatimChar"/>
              </w:rPr>
              <w:t xml:space="preserve">LlmClientPort</w:t>
            </w:r>
            <w:r>
              <w:t xml:space="preserve"> </w:t>
            </w:r>
            <w:r>
              <w:t xml:space="preserve">ohne Refactoring.</w:t>
            </w:r>
          </w:p>
        </w:tc>
      </w:tr>
      <w:tr>
        <w:tc>
          <w:tcPr/>
          <w:p>
            <w:pPr>
              <w:pStyle w:val="Compact"/>
            </w:pPr>
            <w:r>
              <w:t xml:space="preserve">R-07</w:t>
            </w:r>
          </w:p>
        </w:tc>
        <w:tc>
          <w:tcPr/>
          <w:p>
            <w:pPr>
              <w:pStyle w:val="Compact"/>
            </w:pPr>
            <w:r>
              <w:t xml:space="preserve">Niedrig</w:t>
            </w:r>
          </w:p>
        </w:tc>
        <w:tc>
          <w:tcPr/>
          <w:p>
            <w:pPr>
              <w:pStyle w:val="Compact"/>
            </w:pPr>
            <w:r>
              <w:rPr>
                <w:b/>
                <w:bCs/>
              </w:rPr>
              <w:t xml:space="preserve">Spring AI Milestone-Abhängigkeit</w:t>
            </w:r>
          </w:p>
        </w:tc>
        <w:tc>
          <w:tcPr/>
          <w:p>
            <w:pPr>
              <w:pStyle w:val="Compact"/>
            </w:pPr>
            <w:r>
              <w:t xml:space="preserve">Spring AI 2.0.x ist zum Implementierungszeitpunkt im Milestone-Status (</w:t>
            </w:r>
            <w:r>
              <w:rPr>
                <w:rStyle w:val="VerbatimChar"/>
              </w:rPr>
              <w:t xml:space="preserve">2.0.0-M6</w:t>
            </w:r>
            <w:r>
              <w:t xml:space="preserve">) — Spring-Milestone-Repo nötig. Risiko: API-Breaking-Changes vor 2.0.0-GA. Mitigation: Adapter ist dünn (</w:t>
            </w:r>
            <w:r>
              <w:rPr>
                <w:rStyle w:val="VerbatimChar"/>
              </w:rPr>
              <w:t xml:space="preserve">ChatClient</w:t>
            </w:r>
            <w:r>
              <w:t xml:space="preserve">-Aufruf in einer Methode), Umstellung auf GA voraussichtlich trivial.</w:t>
            </w:r>
          </w:p>
        </w:tc>
      </w:tr>
    </w:tbl>
    <w:p>
      <w:r>
        <w:pict>
          <v:rect style="width:0;height:1.5pt" o:hralign="center" o:hrstd="t" o:hr="t"/>
        </w:pict>
      </w:r>
    </w:p>
    <w:bookmarkEnd w:id="81"/>
    <w:bookmarkStart w:id="85" w:name="ki-werkzeuge-im-projekt"/>
    <w:p>
      <w:pPr>
        <w:pStyle w:val="Heading2"/>
      </w:pPr>
      <w:r>
        <w:t xml:space="preserve">13. KI-Werkzeuge im Projekt</w:t>
      </w:r>
    </w:p>
    <w:bookmarkStart w:id="82" w:name="eingesetzte-werkzeuge"/>
    <w:p>
      <w:pPr>
        <w:pStyle w:val="Heading3"/>
      </w:pPr>
      <w:r>
        <w:t xml:space="preserve">13.1 Eingesetzte Werkzeuge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Werkzeug</w:t>
            </w:r>
          </w:p>
        </w:tc>
        <w:tc>
          <w:tcPr/>
          <w:p>
            <w:pPr>
              <w:pStyle w:val="Compact"/>
            </w:pPr>
            <w:r>
              <w:t xml:space="preserve">Version / Modell</w:t>
            </w:r>
          </w:p>
        </w:tc>
        <w:tc>
          <w:tcPr/>
          <w:p>
            <w:pPr>
              <w:pStyle w:val="Compact"/>
            </w:pPr>
            <w:r>
              <w:t xml:space="preserve">Einsatzbereich</w:t>
            </w:r>
          </w:p>
        </w:tc>
      </w:tr>
      <w:tr>
        <w:tc>
          <w:tcPr/>
          <w:p>
            <w:pPr>
              <w:pStyle w:val="Compact"/>
            </w:pPr>
            <w:r>
              <w:t xml:space="preserve">Claude Code</w:t>
            </w:r>
          </w:p>
        </w:tc>
        <w:tc>
          <w:tcPr/>
          <w:p>
            <w:pPr>
              <w:pStyle w:val="Compact"/>
            </w:pPr>
            <w:r>
              <w:t xml:space="preserve">Opus 4.7 / 4.8 (1M-Context-Beta)</w:t>
            </w:r>
          </w:p>
        </w:tc>
        <w:tc>
          <w:tcPr/>
          <w:p>
            <w:pPr>
              <w:pStyle w:val="Compact"/>
            </w:pPr>
            <w:r>
              <w:t xml:space="preserve">Hauptassistent für Spezifikation, Planung, Implementierung und Review</w:t>
            </w:r>
          </w:p>
        </w:tc>
      </w:tr>
      <w:tr>
        <w:tc>
          <w:tcPr/>
          <w:p>
            <w:pPr>
              <w:pStyle w:val="Compact"/>
            </w:pPr>
            <w:r>
              <w:t xml:space="preserve">Superpowers Skill-Suite</w:t>
            </w:r>
          </w:p>
        </w:tc>
        <w:tc>
          <w:tcPr/>
          <w:p>
            <w:pPr>
              <w:pStyle w:val="Compact"/>
            </w:pPr>
            <w:r>
              <w:rPr>
                <w:rStyle w:val="VerbatimChar"/>
              </w:rPr>
              <w:t xml:space="preserve">superpowers:brainstorming</w:t>
            </w:r>
            <w:r>
              <w:t xml:space="preserve">,</w:t>
            </w:r>
            <w:r>
              <w:t xml:space="preserve"> </w:t>
            </w:r>
            <w:r>
              <w:rPr>
                <w:rStyle w:val="VerbatimChar"/>
              </w:rPr>
              <w:t xml:space="preserve">writing-plans</w:t>
            </w:r>
            <w:r>
              <w:t xml:space="preserve">,</w:t>
            </w:r>
            <w:r>
              <w:t xml:space="preserve"> </w:t>
            </w:r>
            <w:r>
              <w:rPr>
                <w:rStyle w:val="VerbatimChar"/>
              </w:rPr>
              <w:t xml:space="preserve">subagent-driven-development</w:t>
            </w:r>
            <w:r>
              <w:t xml:space="preserve">,</w:t>
            </w:r>
            <w:r>
              <w:t xml:space="preserve"> </w:t>
            </w:r>
            <w:r>
              <w:rPr>
                <w:rStyle w:val="VerbatimChar"/>
              </w:rPr>
              <w:t xml:space="preserve">verification-before-completion</w:t>
            </w:r>
            <w:r>
              <w:t xml:space="preserve">,</w:t>
            </w:r>
            <w:r>
              <w:t xml:space="preserve"> </w:t>
            </w:r>
            <w:r>
              <w:rPr>
                <w:rStyle w:val="VerbatimChar"/>
              </w:rPr>
              <w:t xml:space="preserve">systematic-debugging</w:t>
            </w:r>
          </w:p>
        </w:tc>
        <w:tc>
          <w:tcPr/>
          <w:p>
            <w:pPr>
              <w:pStyle w:val="Compact"/>
            </w:pPr>
            <w:r>
              <w:t xml:space="preserve">Strukturierter Spec → Plan → Implementierungs-Workflow</w:t>
            </w:r>
          </w:p>
        </w:tc>
      </w:tr>
      <w:tr>
        <w:tc>
          <w:tcPr/>
          <w:p>
            <w:pPr>
              <w:pStyle w:val="Compact"/>
            </w:pPr>
            <w:r>
              <w:rPr>
                <w:rStyle w:val="VerbatimChar"/>
              </w:rPr>
              <w:t xml:space="preserve">pr-review-toolkit:review-pr</w:t>
            </w:r>
            <w:r>
              <w:t xml:space="preserve"> </w:t>
            </w:r>
            <w:r>
              <w:t xml:space="preserve">/</w:t>
            </w:r>
            <w:r>
              <w:t xml:space="preserve"> </w:t>
            </w:r>
            <w:r>
              <w:rPr>
                <w:rStyle w:val="VerbatimChar"/>
              </w:rPr>
              <w:t xml:space="preserve">/code-review ultra</w:t>
            </w:r>
          </w:p>
        </w:tc>
        <w:tc>
          <w:tcPr/>
          <w:p>
            <w:pPr>
              <w:pStyle w:val="Compact"/>
            </w:pPr>
            <w:r>
              <w:t xml:space="preserve">Multi-Agent-Review (fan-out + adversarial verify)</w:t>
            </w:r>
          </w:p>
        </w:tc>
        <w:tc>
          <w:tcPr/>
          <w:p>
            <w:pPr>
              <w:pStyle w:val="Compact"/>
            </w:pPr>
            <w:r>
              <w:t xml:space="preserve">Codeüberprüfung vor Merge</w:t>
            </w:r>
          </w:p>
        </w:tc>
      </w:tr>
      <w:tr>
        <w:tc>
          <w:tcPr/>
          <w:p>
            <w:pPr>
              <w:pStyle w:val="Compact"/>
            </w:pPr>
            <w:r>
              <w:t xml:space="preserve">Context7 MCP (</w:t>
            </w:r>
            <w:r>
              <w:rPr>
                <w:rStyle w:val="VerbatimChar"/>
              </w:rPr>
              <w:t xml:space="preserve">mcp__plugin_context7_context7__query-docs</w:t>
            </w:r>
            <w:r>
              <w:t xml:space="preserve">)</w:t>
            </w:r>
          </w:p>
        </w:tc>
        <w:tc>
          <w:tcPr/>
          <w:p>
            <w:pPr>
              <w:pStyle w:val="Compact"/>
            </w:pPr>
            <w:r>
              <w:t xml:space="preserve">–</w:t>
            </w:r>
          </w:p>
        </w:tc>
        <w:tc>
          <w:tcPr/>
          <w:p>
            <w:pPr>
              <w:pStyle w:val="Compact"/>
            </w:pPr>
            <w:r>
              <w:t xml:space="preserve">Doc-Recherche für Bibliotheken (Spring AI, springdoc, Testcontainers)</w:t>
            </w:r>
          </w:p>
        </w:tc>
      </w:tr>
      <w:tr>
        <w:tc>
          <w:tcPr/>
          <w:p>
            <w:pPr>
              <w:pStyle w:val="Compact"/>
            </w:pPr>
            <w:r>
              <w:t xml:space="preserve">GitHub MCP (</w:t>
            </w:r>
            <w:r>
              <w:rPr>
                <w:rStyle w:val="VerbatimChar"/>
              </w:rPr>
              <w:t xml:space="preserve">mcp__github__*</w:t>
            </w:r>
            <w:r>
              <w:t xml:space="preserve">)</w:t>
            </w:r>
          </w:p>
        </w:tc>
        <w:tc>
          <w:tcPr/>
          <w:p>
            <w:pPr>
              <w:pStyle w:val="Compact"/>
            </w:pPr>
            <w:r>
              <w:t xml:space="preserve">–</w:t>
            </w:r>
          </w:p>
        </w:tc>
        <w:tc>
          <w:tcPr/>
          <w:p>
            <w:pPr>
              <w:pStyle w:val="Compact"/>
            </w:pPr>
            <w:r>
              <w:t xml:space="preserve">PR-/Issue-Verwaltung, Branch-Operationen</w:t>
            </w:r>
          </w:p>
        </w:tc>
      </w:tr>
    </w:tbl>
    <w:bookmarkEnd w:id="82"/>
    <w:bookmarkStart w:id="83" w:name="einsatz-pro-phase"/>
    <w:p>
      <w:pPr>
        <w:pStyle w:val="Heading3"/>
      </w:pPr>
      <w:r>
        <w:t xml:space="preserve">13.2 Einsatz pro Phase</w:t>
      </w:r>
    </w:p>
    <w:p>
      <w:pPr>
        <w:pStyle w:val="FirstParagraph"/>
      </w:pPr>
      <w:r>
        <w:rPr>
          <w:b/>
          <w:bCs/>
        </w:rPr>
        <w:t xml:space="preserve">Generierung.</w:t>
      </w:r>
      <w:r>
        <w:t xml:space="preserve"> </w:t>
      </w:r>
      <w:r>
        <w:t xml:space="preserve">Jede grössere Änderung folgt dem Workflow Brainstorming → Spec → Plan → Implementierung mit TDD. Spec- und Plan-Dokumente liegen unter</w:t>
      </w:r>
      <w:r>
        <w:t xml:space="preserve"> </w:t>
      </w:r>
      <w:r>
        <w:rPr>
          <w:rStyle w:val="VerbatimChar"/>
        </w:rPr>
        <w:t xml:space="preserve">docs/superpowers/specs/</w:t>
      </w:r>
      <w:r>
        <w:t xml:space="preserve"> </w:t>
      </w:r>
      <w:r>
        <w:t xml:space="preserve">(15 Designdokumente) bzw.</w:t>
      </w:r>
      <w:r>
        <w:t xml:space="preserve"> </w:t>
      </w:r>
      <w:r>
        <w:rPr>
          <w:rStyle w:val="VerbatimChar"/>
        </w:rPr>
        <w:t xml:space="preserve">docs/superpowers/plans/</w:t>
      </w:r>
      <w:r>
        <w:t xml:space="preserve"> </w:t>
      </w:r>
      <w:r>
        <w:t xml:space="preserve">(16 Plandokumente) und tragen das jeweilige TEN-Ticket im Dateinamen. Belegbeispiele:</w:t>
      </w:r>
    </w:p>
    <w:p>
      <w:pPr>
        <w:pStyle w:val="Compact"/>
        <w:numPr>
          <w:ilvl w:val="0"/>
          <w:numId w:val="1012"/>
        </w:numPr>
      </w:pPr>
      <w:r>
        <w:rPr>
          <w:rStyle w:val="VerbatimChar"/>
        </w:rPr>
        <w:t xml:space="preserve">docs/superpowers/specs/2026-05-17-ai-match-analysis-postmortem-design.md</w:t>
      </w:r>
      <w:r>
        <w:t xml:space="preserve"> </w:t>
      </w:r>
      <w:r>
        <w:t xml:space="preserve">+ Plan</w:t>
      </w:r>
      <w:r>
        <w:t xml:space="preserve"> </w:t>
      </w:r>
      <w:r>
        <w:rPr>
          <w:rStyle w:val="VerbatimChar"/>
        </w:rPr>
        <w:t xml:space="preserve">docs/superpowers/plans/2026-05-17-ai-match-analysis-postmortem.md</w:t>
      </w:r>
      <w:r>
        <w:t xml:space="preserve"> </w:t>
      </w:r>
      <w:r>
        <w:t xml:space="preserve">— Spec/Plan für das</w:t>
      </w:r>
      <w:r>
        <w:t xml:space="preserve"> </w:t>
      </w:r>
      <w:r>
        <w:rPr>
          <w:rStyle w:val="VerbatimChar"/>
        </w:rPr>
        <w:t xml:space="preserve">ai-module</w:t>
      </w:r>
      <w:r>
        <w:t xml:space="preserve"> </w:t>
      </w:r>
      <w:r>
        <w:t xml:space="preserve">(FA-11).</w:t>
      </w:r>
    </w:p>
    <w:p>
      <w:pPr>
        <w:pStyle w:val="Compact"/>
        <w:numPr>
          <w:ilvl w:val="0"/>
          <w:numId w:val="1012"/>
        </w:numPr>
      </w:pPr>
      <w:r>
        <w:rPr>
          <w:rStyle w:val="VerbatimChar"/>
        </w:rPr>
        <w:t xml:space="preserve">docs/superpowers/specs/2026-06-22-ten-60-bean-validation-design.md</w:t>
      </w:r>
      <w:r>
        <w:t xml:space="preserve"> </w:t>
      </w:r>
      <w:r>
        <w:t xml:space="preserve">+ Plan</w:t>
      </w:r>
      <w:r>
        <w:t xml:space="preserve"> </w:t>
      </w:r>
      <w:r>
        <w:rPr>
          <w:rStyle w:val="VerbatimChar"/>
        </w:rPr>
        <w:t xml:space="preserve">docs/superpowers/plans/2026-06-22-ten-60-bean-validation.md</w:t>
      </w:r>
      <w:r>
        <w:t xml:space="preserve"> </w:t>
      </w:r>
      <w:r>
        <w:t xml:space="preserve">— Spec/Plan für Bean Validation auf REST-DTOs (TEN-60).</w:t>
      </w:r>
    </w:p>
    <w:p>
      <w:pPr>
        <w:pStyle w:val="Compact"/>
        <w:numPr>
          <w:ilvl w:val="0"/>
          <w:numId w:val="1012"/>
        </w:numPr>
      </w:pPr>
      <w:r>
        <w:rPr>
          <w:rStyle w:val="VerbatimChar"/>
        </w:rPr>
        <w:t xml:space="preserve">docs/superpowers/specs/2026-06-22-ten-55-owner-binding-rbac-design.md</w:t>
      </w:r>
      <w:r>
        <w:t xml:space="preserve"> </w:t>
      </w:r>
      <w:r>
        <w:t xml:space="preserve">+ Plan</w:t>
      </w:r>
      <w:r>
        <w:t xml:space="preserve"> </w:t>
      </w:r>
      <w:r>
        <w:rPr>
          <w:rStyle w:val="VerbatimChar"/>
        </w:rPr>
        <w:t xml:space="preserve">docs/superpowers/plans/2026-06-22-ten-55-owner-binding-rbac.md</w:t>
      </w:r>
      <w:r>
        <w:t xml:space="preserve"> </w:t>
      </w:r>
      <w:r>
        <w:t xml:space="preserve">— Owner-Binding/RBAC (TEN-55).</w:t>
      </w:r>
    </w:p>
    <w:p>
      <w:pPr>
        <w:pStyle w:val="FirstParagraph"/>
      </w:pPr>
      <w:r>
        <w:rPr>
          <w:b/>
          <w:bCs/>
        </w:rPr>
        <w:t xml:space="preserve">Review.</w:t>
      </w:r>
      <w:r>
        <w:t xml:space="preserve"> </w:t>
      </w:r>
      <w:r>
        <w:t xml:space="preserve">Vor jedem Merge auf</w:t>
      </w:r>
      <w:r>
        <w:t xml:space="preserve"> </w:t>
      </w:r>
      <w:r>
        <w:rPr>
          <w:rStyle w:val="VerbatimChar"/>
        </w:rPr>
        <w:t xml:space="preserve">develop</w:t>
      </w:r>
      <w:r>
        <w:t xml:space="preserve"> </w:t>
      </w:r>
      <w:r>
        <w:t xml:space="preserve">läuft</w:t>
      </w:r>
      <w:r>
        <w:t xml:space="preserve"> </w:t>
      </w:r>
      <w:r>
        <w:rPr>
          <w:rStyle w:val="VerbatimChar"/>
        </w:rPr>
        <w:t xml:space="preserve">/code-review</w:t>
      </w:r>
      <w:r>
        <w:t xml:space="preserve"> </w:t>
      </w:r>
      <w:r>
        <w:t xml:space="preserve">oder</w:t>
      </w:r>
      <w:r>
        <w:t xml:space="preserve"> </w:t>
      </w:r>
      <w:r>
        <w:rPr>
          <w:rStyle w:val="VerbatimChar"/>
        </w:rPr>
        <w:t xml:space="preserve">pr-review-toolkit:review-pr</w:t>
      </w:r>
      <w:r>
        <w:t xml:space="preserve"> </w:t>
      </w:r>
      <w:r>
        <w:t xml:space="preserve">mit Multi-Agent-Fan-out gegen das Diff. Befunde landen als Inline-PR-Kommentar oder als Edit-Anweisung im Working Tree. Belege:</w:t>
      </w:r>
    </w:p>
    <w:p>
      <w:pPr>
        <w:pStyle w:val="Compact"/>
        <w:numPr>
          <w:ilvl w:val="0"/>
          <w:numId w:val="1013"/>
        </w:numPr>
      </w:pPr>
      <w:r>
        <w:rPr>
          <w:rStyle w:val="VerbatimChar"/>
        </w:rPr>
        <w:t xml:space="preserve">doc/bewertungskriterien/Code-Pruefung_Kriterien_7_und_8.md</w:t>
      </w:r>
      <w:r>
        <w:t xml:space="preserve"> </w:t>
      </w:r>
      <w:r>
        <w:t xml:space="preserve">ist ein KI-erstellter Selbst-Audit gegen die Bewertungskriterien 7 + 8. Die dort identifizierten Lücken (Scoring-Modul-Konsolidierung, modulübergreifendes Domänenmodell, fehlende Modul-Durchsetzung) wurden anschliessend in</w:t>
      </w:r>
      <w:r>
        <w:t xml:space="preserve"> </w:t>
      </w:r>
      <w:r>
        <w:rPr>
          <w:b/>
          <w:bCs/>
        </w:rPr>
        <w:t xml:space="preserve">ADR-12</w:t>
      </w:r>
      <w:r>
        <w:t xml:space="preserve">,</w:t>
      </w:r>
      <w:r>
        <w:t xml:space="preserve"> </w:t>
      </w:r>
      <w:r>
        <w:rPr>
          <w:b/>
          <w:bCs/>
        </w:rPr>
        <w:t xml:space="preserve">ADR-13</w:t>
      </w:r>
      <w:r>
        <w:t xml:space="preserve"> </w:t>
      </w:r>
      <w:r>
        <w:t xml:space="preserve">und</w:t>
      </w:r>
      <w:r>
        <w:t xml:space="preserve"> </w:t>
      </w:r>
      <w:r>
        <w:rPr>
          <w:rStyle w:val="VerbatimChar"/>
        </w:rPr>
        <w:t xml:space="preserve">backend/app/src/test/java/com/cas/tsas/ArchitectureTest.java</w:t>
      </w:r>
      <w:r>
        <w:t xml:space="preserve"> </w:t>
      </w:r>
      <w:r>
        <w:t xml:space="preserve">adressiert.</w:t>
      </w:r>
    </w:p>
    <w:p>
      <w:pPr>
        <w:pStyle w:val="FirstParagraph"/>
      </w:pPr>
      <w:r>
        <w:rPr>
          <w:b/>
          <w:bCs/>
        </w:rPr>
        <w:t xml:space="preserve">Refactoring.</w:t>
      </w:r>
      <w:r>
        <w:t xml:space="preserve"> </w:t>
      </w:r>
      <w:r>
        <w:t xml:space="preserve">Spec-getriebene Cleanups mit TDD-Schleife. Belegbeispiele aus</w:t>
      </w:r>
      <w:r>
        <w:t xml:space="preserve"> </w:t>
      </w:r>
      <w:r>
        <w:rPr>
          <w:rStyle w:val="VerbatimChar"/>
        </w:rPr>
        <w:t xml:space="preserve">git log</w:t>
      </w:r>
      <w:r>
        <w:t xml:space="preserve"> </w:t>
      </w:r>
      <w:r>
        <w:t xml:space="preserve">auf</w:t>
      </w:r>
      <w:r>
        <w:t xml:space="preserve"> </w:t>
      </w:r>
      <w:r>
        <w:rPr>
          <w:rStyle w:val="VerbatimChar"/>
        </w:rPr>
        <w:t xml:space="preserve">develop</w:t>
      </w:r>
      <w:r>
        <w:t xml:space="preserve">:</w:t>
      </w:r>
    </w:p>
    <w:p>
      <w:pPr>
        <w:pStyle w:val="Compact"/>
        <w:numPr>
          <w:ilvl w:val="0"/>
          <w:numId w:val="1014"/>
        </w:numPr>
      </w:pPr>
      <w:r>
        <w:rPr>
          <w:rStyle w:val="VerbatimChar"/>
        </w:rPr>
        <w:t xml:space="preserve">cc6e502 feat(match): typed enums + @Size on RecordPointRequest + IT (TEN-60)</w:t>
      </w:r>
    </w:p>
    <w:p>
      <w:pPr>
        <w:pStyle w:val="Compact"/>
        <w:numPr>
          <w:ilvl w:val="0"/>
          <w:numId w:val="1014"/>
        </w:numPr>
      </w:pPr>
      <w:r>
        <w:rPr>
          <w:rStyle w:val="VerbatimChar"/>
        </w:rPr>
        <w:t xml:space="preserve">d96f4da feat(player): @Size limits on DTO string fields + IT (TEN-60)</w:t>
      </w:r>
    </w:p>
    <w:p>
      <w:pPr>
        <w:pStyle w:val="Compact"/>
        <w:numPr>
          <w:ilvl w:val="0"/>
          <w:numId w:val="1014"/>
        </w:numPr>
      </w:pPr>
      <w:r>
        <w:rPr>
          <w:rStyle w:val="VerbatimChar"/>
        </w:rPr>
        <w:t xml:space="preserve">2a0bcf1 docs(plans): add TEN-60 bean-validation implementation plan</w:t>
      </w:r>
    </w:p>
    <w:p>
      <w:pPr>
        <w:pStyle w:val="FirstParagraph"/>
      </w:pPr>
      <w:r>
        <w:rPr>
          <w:b/>
          <w:bCs/>
        </w:rPr>
        <w:t xml:space="preserve">Recherche.</w:t>
      </w:r>
      <w:r>
        <w:t xml:space="preserve"> </w:t>
      </w:r>
      <w:r>
        <w:t xml:space="preserve">Punktuelle Recherche-Aufgaben (Spring AI 2.x Boot-4-Kompatibilität, JaCoCo-Aggregation über Multi-Module, Spring Security Test JWT-Mock, Testcontainers + Podman) wurden über Web-Recherche-Subagenten und</w:t>
      </w:r>
      <w:r>
        <w:t xml:space="preserve"> </w:t>
      </w:r>
      <w:r>
        <w:rPr>
          <w:rStyle w:val="VerbatimChar"/>
        </w:rPr>
        <w:t xml:space="preserve">mcp__plugin_context7_context7__query-docs</w:t>
      </w:r>
      <w:r>
        <w:t xml:space="preserve"> </w:t>
      </w:r>
      <w:r>
        <w:t xml:space="preserve">durchgeführt. Ergebnisse flossen in ADR-10 (Spring AI Milestone-Risiko in R-07) und ADR-11 (CI/Coverage-Gate-Schwellen-Begründung) ein.</w:t>
      </w:r>
    </w:p>
    <w:bookmarkEnd w:id="83"/>
    <w:bookmarkStart w:id="84" w:name="eigenständigkeit"/>
    <w:p>
      <w:pPr>
        <w:pStyle w:val="Heading3"/>
      </w:pPr>
      <w:r>
        <w:t xml:space="preserve">13.3 Eigenständigkeit</w:t>
      </w:r>
    </w:p>
    <w:p>
      <w:pPr>
        <w:pStyle w:val="FirstParagraph"/>
      </w:pPr>
      <w:r>
        <w:t xml:space="preserve">Eine separate Eigenständigkeitserklärung liegt unter</w:t>
      </w:r>
      <w:r>
        <w:t xml:space="preserve"> </w:t>
      </w:r>
      <w:r>
        <w:rPr>
          <w:rStyle w:val="VerbatimChar"/>
        </w:rPr>
        <w:t xml:space="preserve">doc/sad/TSaS_Eigenstaendigkeitserklaerung.md</w:t>
      </w:r>
      <w:r>
        <w:t xml:space="preserve">. Sie bestätigt, dass alle KI-Vorschläge vor Übernahme geprüft, angenommen oder zurückgewiesen wurden. Die drei wichtigsten bewusst</w:t>
      </w:r>
      <w:r>
        <w:t xml:space="preserve"> </w:t>
      </w:r>
      <w:r>
        <w:rPr>
          <w:b/>
          <w:bCs/>
        </w:rPr>
        <w:t xml:space="preserve">nicht</w:t>
      </w:r>
      <w:r>
        <w:t xml:space="preserve"> </w:t>
      </w:r>
      <w:r>
        <w:t xml:space="preserve">an die KI delegierten Entscheidungen sind in Kapitel 14 (Reflexion und Fazit) mit Begründung und Beleg ausgewiesen.</w:t>
      </w:r>
    </w:p>
    <w:p>
      <w:r>
        <w:pict>
          <v:rect style="width:0;height:1.5pt" o:hralign="center" o:hrstd="t" o:hr="t"/>
        </w:pict>
      </w:r>
    </w:p>
    <w:bookmarkEnd w:id="84"/>
    <w:bookmarkEnd w:id="85"/>
    <w:bookmarkStart w:id="90" w:name="reflexion-und-fazit"/>
    <w:p>
      <w:pPr>
        <w:pStyle w:val="Heading2"/>
      </w:pPr>
      <w:r>
        <w:t xml:space="preserve">14. Reflexion und Fazit</w:t>
      </w:r>
    </w:p>
    <w:p>
      <w:pPr>
        <w:pStyle w:val="FirstParagraph"/>
      </w:pPr>
      <w:r>
        <w:t xml:space="preserve">Drei Bereiche wurden im Projektverlauf bewusst</w:t>
      </w:r>
      <w:r>
        <w:t xml:space="preserve"> </w:t>
      </w:r>
      <w:r>
        <w:rPr>
          <w:b/>
          <w:bCs/>
        </w:rPr>
        <w:t xml:space="preserve">nicht an die KI delegiert</w:t>
      </w:r>
      <w:r>
        <w:t xml:space="preserve"> </w:t>
      </w:r>
      <w:r>
        <w:t xml:space="preserve">— Vorschläge wurden zurückgewiesen, manuell überschrieben oder ohne KI-Unterstützung getroffen. Begründungen und Belege:</w:t>
      </w:r>
    </w:p>
    <w:bookmarkStart w:id="86" w:name="veto-1-security-konfiguration"/>
    <w:p>
      <w:pPr>
        <w:pStyle w:val="Heading3"/>
      </w:pPr>
      <w:r>
        <w:t xml:space="preserve">14.1 Veto 1 — Security-Konfiguration</w:t>
      </w:r>
    </w:p>
    <w:p>
      <w:pPr>
        <w:pStyle w:val="FirstParagraph"/>
      </w:pPr>
      <w:r>
        <w:rPr>
          <w:b/>
          <w:bCs/>
        </w:rPr>
        <w:t xml:space="preserve">Entscheidung:</w:t>
      </w:r>
      <w:r>
        <w:t xml:space="preserve"> </w:t>
      </w:r>
      <w:r>
        <w:t xml:space="preserve">Die Security-Konfiguration (</w:t>
      </w:r>
      <w:r>
        <w:rPr>
          <w:rStyle w:val="VerbatimChar"/>
        </w:rPr>
        <w:t xml:space="preserve">backend/auth-module/.../SecurityConfig.java</w:t>
      </w:r>
      <w:r>
        <w:t xml:space="preserve">, der Keycloak-Realm-Export</w:t>
      </w:r>
      <w:r>
        <w:t xml:space="preserve"> </w:t>
      </w:r>
      <w:r>
        <w:rPr>
          <w:rStyle w:val="VerbatimChar"/>
        </w:rPr>
        <w:t xml:space="preserve">docker/keycloak/realm-export.json</w:t>
      </w:r>
      <w:r>
        <w:t xml:space="preserve">, JWT-Validator-Setup, CORS, Pfad-basierte Permits) wurde</w:t>
      </w:r>
      <w:r>
        <w:t xml:space="preserve"> </w:t>
      </w:r>
      <w:r>
        <w:rPr>
          <w:b/>
          <w:bCs/>
        </w:rPr>
        <w:t xml:space="preserve">ohne KI-Generierung</w:t>
      </w:r>
      <w:r>
        <w:t xml:space="preserve"> </w:t>
      </w:r>
      <w:r>
        <w:t xml:space="preserve">verfasst und in jedem Review-Schritt zeilenweise gegen die OAuth2-/OIDC-Spec geprüft.</w:t>
      </w:r>
    </w:p>
    <w:p>
      <w:pPr>
        <w:pStyle w:val="BodyText"/>
      </w:pPr>
      <w:r>
        <w:rPr>
          <w:b/>
          <w:bCs/>
        </w:rPr>
        <w:t xml:space="preserve">Begründung:</w:t>
      </w:r>
      <w:r>
        <w:t xml:space="preserve"> </w:t>
      </w:r>
      <w:r>
        <w:t xml:space="preserve">Eine fehlerhafte Token-Validation (</w:t>
      </w:r>
      <w:r>
        <w:rPr>
          <w:rStyle w:val="VerbatimChar"/>
        </w:rPr>
        <w:t xml:space="preserve">aud</w:t>
      </w:r>
      <w:r>
        <w:t xml:space="preserve">-/</w:t>
      </w:r>
      <w:r>
        <w:rPr>
          <w:rStyle w:val="VerbatimChar"/>
        </w:rPr>
        <w:t xml:space="preserve">iss</w:t>
      </w:r>
      <w:r>
        <w:t xml:space="preserve">-Prüfung, JWK-Set-URL, Permit-Patterns) führt unmittelbar zu Auth-Bypass-Lücken. Generative Tools neigen dazu,</w:t>
      </w:r>
      <w:r>
        <w:t xml:space="preserve"> </w:t>
      </w:r>
      <w:r>
        <w:rPr>
          <w:rStyle w:val="VerbatimChar"/>
        </w:rPr>
        <w:t xml:space="preserve">permitAll()</w:t>
      </w:r>
      <w:r>
        <w:t xml:space="preserve"> </w:t>
      </w:r>
      <w:r>
        <w:t xml:space="preserve">als „lauffähigen” Default vorzuschlagen oder eine</w:t>
      </w:r>
      <w:r>
        <w:t xml:space="preserve"> </w:t>
      </w:r>
      <w:r>
        <w:rPr>
          <w:rStyle w:val="VerbatimChar"/>
        </w:rPr>
        <w:t xml:space="preserve">aud</w:t>
      </w:r>
      <w:r>
        <w:t xml:space="preserve">-Prüfung in</w:t>
      </w:r>
      <w:r>
        <w:t xml:space="preserve"> </w:t>
      </w:r>
      <w:r>
        <w:rPr>
          <w:rStyle w:val="VerbatimChar"/>
        </w:rPr>
        <w:t xml:space="preserve">JwtValidators.createDefaultWithIssuer(...)</w:t>
      </w:r>
      <w:r>
        <w:t xml:space="preserve"> </w:t>
      </w:r>
      <w:r>
        <w:t xml:space="preserve">zu unterlassen — beide Muster sind in</w:t>
      </w:r>
      <w:r>
        <w:t xml:space="preserve"> </w:t>
      </w:r>
      <w:r>
        <w:rPr>
          <w:rStyle w:val="VerbatimChar"/>
        </w:rPr>
        <w:t xml:space="preserve">SecurityConfig.java</w:t>
      </w:r>
      <w:r>
        <w:t xml:space="preserve"> </w:t>
      </w:r>
      <w:r>
        <w:t xml:space="preserve">bewusst manuell entschieden.</w:t>
      </w:r>
    </w:p>
    <w:p>
      <w:pPr>
        <w:pStyle w:val="BodyText"/>
      </w:pPr>
      <w:r>
        <w:rPr>
          <w:b/>
          <w:bCs/>
        </w:rPr>
        <w:t xml:space="preserve">Beleg:</w:t>
      </w:r>
      <w:r>
        <w:t xml:space="preserve"> </w:t>
      </w:r>
      <w:r>
        <w:rPr>
          <w:rStyle w:val="VerbatimChar"/>
        </w:rPr>
        <w:t xml:space="preserve">doc/sad/TSaS_STRIDE_Threat_Analysis.md</w:t>
      </w:r>
      <w:r>
        <w:t xml:space="preserve"> </w:t>
      </w:r>
      <w:r>
        <w:t xml:space="preserve">§2.1 listet die noch offene</w:t>
      </w:r>
      <w:r>
        <w:t xml:space="preserve"> </w:t>
      </w:r>
      <w:r>
        <w:rPr>
          <w:rStyle w:val="VerbatimChar"/>
        </w:rPr>
        <w:t xml:space="preserve">aud</w:t>
      </w:r>
      <w:r>
        <w:t xml:space="preserve">-Lücke (Befund S1) als Hoch-Risiko. Sie wurde im manuellen STRIDE-Audit identifiziert; ein KI-Review hätte sie wahrscheinlich nicht als Lücke erkannt, weil</w:t>
      </w:r>
      <w:r>
        <w:t xml:space="preserve"> </w:t>
      </w:r>
      <w:r>
        <w:rPr>
          <w:rStyle w:val="VerbatimChar"/>
        </w:rPr>
        <w:t xml:space="preserve">JwtValidators.createDefaultWithIssuer</w:t>
      </w:r>
      <w:r>
        <w:t xml:space="preserve"> </w:t>
      </w:r>
      <w:r>
        <w:t xml:space="preserve">formal „korrekt” ist. Die Backlog-Entscheidung (Mitigation in eigenem Ticket) bleibt bei einem Menschen.</w:t>
      </w:r>
    </w:p>
    <w:bookmarkEnd w:id="86"/>
    <w:bookmarkStart w:id="87" w:name="veto-2-architekturentscheidungen-adrs"/>
    <w:p>
      <w:pPr>
        <w:pStyle w:val="Heading3"/>
      </w:pPr>
      <w:r>
        <w:t xml:space="preserve">14.2 Veto 2 — Architekturentscheidungen (ADRs)</w:t>
      </w:r>
    </w:p>
    <w:p>
      <w:pPr>
        <w:pStyle w:val="FirstParagraph"/>
      </w:pPr>
      <w:r>
        <w:rPr>
          <w:b/>
          <w:bCs/>
        </w:rPr>
        <w:t xml:space="preserve">Entscheidung:</w:t>
      </w:r>
      <w:r>
        <w:t xml:space="preserve"> </w:t>
      </w:r>
      <w:r>
        <w:t xml:space="preserve">Die 13 ADRs in §9 wurden inhaltlich</w:t>
      </w:r>
      <w:r>
        <w:t xml:space="preserve"> </w:t>
      </w:r>
      <w:r>
        <w:rPr>
          <w:b/>
          <w:bCs/>
        </w:rPr>
        <w:t xml:space="preserve">manuell</w:t>
      </w:r>
      <w:r>
        <w:t xml:space="preserve"> </w:t>
      </w:r>
      <w:r>
        <w:t xml:space="preserve">entschieden; die KI half lediglich beim Ausformulieren der Trade-off-Texte.</w:t>
      </w:r>
    </w:p>
    <w:p>
      <w:pPr>
        <w:pStyle w:val="BodyText"/>
      </w:pPr>
      <w:r>
        <w:rPr>
          <w:b/>
          <w:bCs/>
        </w:rPr>
        <w:t xml:space="preserve">Begründung:</w:t>
      </w:r>
      <w:r>
        <w:t xml:space="preserve"> </w:t>
      </w:r>
      <w:r>
        <w:t xml:space="preserve">KI-generierte ADR-Vorschläge tendieren zu konservativen „Best-Practice”-Empfehlungen (z. B. „nimm Spring Modulith, weil es aktuell ist”) und übersehen Kontextfaktoren wie Team-Grösse, Erfahrung und Roadmap. Drei konkrete Gegen-Entscheidungen:</w:t>
      </w:r>
    </w:p>
    <w:p>
      <w:pPr>
        <w:pStyle w:val="Compact"/>
        <w:numPr>
          <w:ilvl w:val="0"/>
          <w:numId w:val="1015"/>
        </w:numPr>
      </w:pPr>
      <w:r>
        <w:rPr>
          <w:b/>
          <w:bCs/>
        </w:rPr>
        <w:t xml:space="preserve">ADR-07</w:t>
      </w:r>
      <w:r>
        <w:t xml:space="preserve"> </w:t>
      </w:r>
      <w:r>
        <w:t xml:space="preserve">verwirft Spring Modulith bewusst zugunsten von Gradle-Multi-Module-Compile-Zeit-Grenzen — entgegen dem aktuellen Hype.</w:t>
      </w:r>
    </w:p>
    <w:p>
      <w:pPr>
        <w:pStyle w:val="Compact"/>
        <w:numPr>
          <w:ilvl w:val="0"/>
          <w:numId w:val="1015"/>
        </w:numPr>
      </w:pPr>
      <w:r>
        <w:rPr>
          <w:b/>
          <w:bCs/>
        </w:rPr>
        <w:t xml:space="preserve">ADR-12</w:t>
      </w:r>
      <w:r>
        <w:t xml:space="preserve"> </w:t>
      </w:r>
      <w:r>
        <w:t xml:space="preserve">konsolidiert das ursprünglich vorgesehene</w:t>
      </w:r>
      <w:r>
        <w:t xml:space="preserve"> </w:t>
      </w:r>
      <w:r>
        <w:rPr>
          <w:rStyle w:val="VerbatimChar"/>
        </w:rPr>
        <w:t xml:space="preserve">scoring-module</w:t>
      </w:r>
      <w:r>
        <w:t xml:space="preserve"> </w:t>
      </w:r>
      <w:r>
        <w:t xml:space="preserve">wieder ins</w:t>
      </w:r>
      <w:r>
        <w:t xml:space="preserve"> </w:t>
      </w:r>
      <w:r>
        <w:rPr>
          <w:rStyle w:val="VerbatimChar"/>
        </w:rPr>
        <w:t xml:space="preserve">match-module</w:t>
      </w:r>
      <w:r>
        <w:t xml:space="preserve">, nachdem die Implementierung zeigte, dass die Modulgrenze keinen fachlichen Mehrwert bringt.</w:t>
      </w:r>
    </w:p>
    <w:p>
      <w:pPr>
        <w:pStyle w:val="Compact"/>
        <w:numPr>
          <w:ilvl w:val="0"/>
          <w:numId w:val="1015"/>
        </w:numPr>
      </w:pPr>
      <w:r>
        <w:rPr>
          <w:b/>
          <w:bCs/>
        </w:rPr>
        <w:t xml:space="preserve">ADR-13</w:t>
      </w:r>
      <w:r>
        <w:t xml:space="preserve"> </w:t>
      </w:r>
      <w:r>
        <w:t xml:space="preserve">erlaubt geteilte Domänen-Wertobjekte modulübergreifend statt einer Anti-Corruption-Schicht — die KI hätte hier vermutlich Spiegel-DTO-Mapper an jeder Grenze vorgeschlagen.</w:t>
      </w:r>
    </w:p>
    <w:p>
      <w:pPr>
        <w:pStyle w:val="FirstParagraph"/>
      </w:pPr>
      <w:r>
        <w:rPr>
          <w:b/>
          <w:bCs/>
        </w:rPr>
        <w:t xml:space="preserve">Beleg:</w:t>
      </w:r>
      <w:r>
        <w:t xml:space="preserve"> </w:t>
      </w:r>
      <w:r>
        <w:t xml:space="preserve">SAD §9 (ADR-Tabelle); die Begründungstexte enthalten konkrete Kontextfaktoren („V1 klein”, „kleines Team”, „spätere Extraktion möglich”), die nicht aus dem Code ableitbar sind. ADR-12 und ADR-13 sind explizit Korrekturen früherer Bausteinskizzen — Spuren der manuellen Nachjustierung.</w:t>
      </w:r>
    </w:p>
    <w:bookmarkEnd w:id="87"/>
    <w:bookmarkStart w:id="88" w:name="veto-3-tennis-domänenregeln-im-scoring"/>
    <w:p>
      <w:pPr>
        <w:pStyle w:val="Heading3"/>
      </w:pPr>
      <w:r>
        <w:t xml:space="preserve">14.3 Veto 3 — Tennis-Domänenregeln im Scoring</w:t>
      </w:r>
    </w:p>
    <w:p>
      <w:pPr>
        <w:pStyle w:val="FirstParagraph"/>
      </w:pPr>
      <w:r>
        <w:rPr>
          <w:b/>
          <w:bCs/>
        </w:rPr>
        <w:t xml:space="preserve">Entscheidung:</w:t>
      </w:r>
      <w:r>
        <w:t xml:space="preserve"> </w:t>
      </w:r>
      <w:r>
        <w:rPr>
          <w:rStyle w:val="VerbatimChar"/>
        </w:rPr>
        <w:t xml:space="preserve">backend/match-module/.../application/service/ScoringService.java</w:t>
      </w:r>
      <w:r>
        <w:t xml:space="preserve"> </w:t>
      </w:r>
      <w:r>
        <w:t xml:space="preserve">(Punkte, Spiele, Sätze, Tiebreak, Match-Tiebreak, Short Set, Einstand-/Vorteil-Logik, Break-Point-Erkennung) wurde gegen das</w:t>
      </w:r>
      <w:r>
        <w:t xml:space="preserve"> </w:t>
      </w:r>
      <w:r>
        <w:rPr>
          <w:b/>
          <w:bCs/>
        </w:rPr>
        <w:t xml:space="preserve">ITF-Regelwerk manuell verifiziert</w:t>
      </w:r>
      <w:r>
        <w:t xml:space="preserve"> </w:t>
      </w:r>
      <w:r>
        <w:t xml:space="preserve">statt aus KI-Generierung übernommen.</w:t>
      </w:r>
    </w:p>
    <w:p>
      <w:pPr>
        <w:pStyle w:val="BodyText"/>
      </w:pPr>
      <w:r>
        <w:rPr>
          <w:b/>
          <w:bCs/>
        </w:rPr>
        <w:t xml:space="preserve">Begründung:</w:t>
      </w:r>
      <w:r>
        <w:t xml:space="preserve"> </w:t>
      </w:r>
      <w:r>
        <w:t xml:space="preserve">LLMs haben unzuverlässige Domänenkenntnis bei Sport-Regelwerken — insbesondere bei Edge Cases wie Match-Tiebreak (bis 10 Punkte, Aufschlägerwechsel nach erstem Punkt, danach je 2), Short Set (bis 4 Games statt 6), Tiebreak-Wechsel-Sequenz. Falsche Scoring-Regeln würde der Coach am Platz sofort bemerken — das ist die kritischste Domäne der App.</w:t>
      </w:r>
    </w:p>
    <w:p>
      <w:pPr>
        <w:pStyle w:val="BodyText"/>
      </w:pPr>
      <w:r>
        <w:rPr>
          <w:b/>
          <w:bCs/>
        </w:rPr>
        <w:t xml:space="preserve">Beleg:</w:t>
      </w:r>
      <w:r>
        <w:t xml:space="preserve"> </w:t>
      </w:r>
      <w:r>
        <w:t xml:space="preserve">60 Tests im</w:t>
      </w:r>
      <w:r>
        <w:t xml:space="preserve"> </w:t>
      </w:r>
      <w:r>
        <w:rPr>
          <w:rStyle w:val="VerbatimChar"/>
        </w:rPr>
        <w:t xml:space="preserve">match-module</w:t>
      </w:r>
      <w:r>
        <w:t xml:space="preserve"> </w:t>
      </w:r>
      <w:r>
        <w:t xml:space="preserve">(Snapshot SAD §8.7), davon der Grossteil explizite Edge-Case-Tests für Tiebreak / Match-Tiebreak / Short Set;</w:t>
      </w:r>
      <w:r>
        <w:t xml:space="preserve"> </w:t>
      </w:r>
      <w:r>
        <w:rPr>
          <w:rStyle w:val="VerbatimChar"/>
        </w:rPr>
        <w:t xml:space="preserve">ScoringService.java</w:t>
      </w:r>
      <w:r>
        <w:t xml:space="preserve">-JavaDoc verweist auf das ITF-Regelwerk als Quelle. Die hohe Branch-Coverage (74,2 %) im</w:t>
      </w:r>
      <w:r>
        <w:t xml:space="preserve"> </w:t>
      </w:r>
      <w:r>
        <w:rPr>
          <w:rStyle w:val="VerbatimChar"/>
        </w:rPr>
        <w:t xml:space="preserve">match-module</w:t>
      </w:r>
      <w:r>
        <w:t xml:space="preserve"> </w:t>
      </w:r>
      <w:r>
        <w:t xml:space="preserve">ist ein direktes Ergebnis dieser Manuell-Verifikation: jede Edge-Case-Verzweigung hat einen Test, nicht weil die KI darum gebeten hat, sondern weil das ITF-Regelwerk sie vorgibt.</w:t>
      </w:r>
    </w:p>
    <w:bookmarkEnd w:id="88"/>
    <w:bookmarkStart w:id="89" w:name="übertrag-auf-die-künftige-arbeitsweise"/>
    <w:p>
      <w:pPr>
        <w:pStyle w:val="Heading3"/>
      </w:pPr>
      <w:r>
        <w:t xml:space="preserve">14.4 Übertrag auf die künftige Arbeitsweise</w:t>
      </w:r>
    </w:p>
    <w:p>
      <w:pPr>
        <w:pStyle w:val="Compact"/>
        <w:numPr>
          <w:ilvl w:val="0"/>
          <w:numId w:val="1016"/>
        </w:numPr>
      </w:pPr>
      <w:r>
        <w:rPr>
          <w:b/>
          <w:bCs/>
        </w:rPr>
        <w:t xml:space="preserve">KI als Drafting- und Review-Werkzeug, nicht als Entscheider.</w:t>
      </w:r>
      <w:r>
        <w:t xml:space="preserve"> </w:t>
      </w:r>
      <w:r>
        <w:t xml:space="preserve">Spec, Plan, Code werden generiert — aber Entscheidungen (Stil-Wahl, Trade-offs, Domänenregeln, Security) bleiben beim Menschen.</w:t>
      </w:r>
    </w:p>
    <w:p>
      <w:pPr>
        <w:pStyle w:val="Compact"/>
        <w:numPr>
          <w:ilvl w:val="0"/>
          <w:numId w:val="1016"/>
        </w:numPr>
      </w:pPr>
      <w:r>
        <w:rPr>
          <w:b/>
          <w:bCs/>
        </w:rPr>
        <w:t xml:space="preserve">Adversariales Review als Standard.</w:t>
      </w:r>
      <w:r>
        <w:t xml:space="preserve"> </w:t>
      </w:r>
      <w:r>
        <w:t xml:space="preserve">Ein zweiter, unabhängiger KI-Agent (</w:t>
      </w:r>
      <w:r>
        <w:rPr>
          <w:rStyle w:val="VerbatimChar"/>
        </w:rPr>
        <w:t xml:space="preserve">/code-review ultra</w:t>
      </w:r>
      <w:r>
        <w:t xml:space="preserve"> </w:t>
      </w:r>
      <w:r>
        <w:t xml:space="preserve">oder</w:t>
      </w:r>
      <w:r>
        <w:t xml:space="preserve"> </w:t>
      </w:r>
      <w:r>
        <w:rPr>
          <w:rStyle w:val="VerbatimChar"/>
        </w:rPr>
        <w:t xml:space="preserve">pr-review-toolkit:review-pr</w:t>
      </w:r>
      <w:r>
        <w:t xml:space="preserve">) prüft jeden grösseren Diff — kein einzelnes Modell entscheidet allein.</w:t>
      </w:r>
    </w:p>
    <w:p>
      <w:pPr>
        <w:pStyle w:val="Compact"/>
        <w:numPr>
          <w:ilvl w:val="0"/>
          <w:numId w:val="1016"/>
        </w:numPr>
      </w:pPr>
      <w:r>
        <w:rPr>
          <w:b/>
          <w:bCs/>
        </w:rPr>
        <w:t xml:space="preserve">Belegpflicht für KI-Vorschläge.</w:t>
      </w:r>
      <w:r>
        <w:t xml:space="preserve"> </w:t>
      </w:r>
      <w:r>
        <w:t xml:space="preserve">Wenn ein Vorschlag übernommen wird, muss er in einer Spec, einem ADR oder einem Commit-Diff nachvollziehbar sein. Ohne Beleg keine Übernahme.</w:t>
      </w:r>
    </w:p>
    <w:p>
      <w:pPr>
        <w:pStyle w:val="Compact"/>
        <w:numPr>
          <w:ilvl w:val="0"/>
          <w:numId w:val="1016"/>
        </w:numPr>
      </w:pPr>
      <w:r>
        <w:rPr>
          <w:b/>
          <w:bCs/>
        </w:rPr>
        <w:t xml:space="preserve">Domänenregeln immer testen.</w:t>
      </w:r>
      <w:r>
        <w:t xml:space="preserve"> </w:t>
      </w:r>
      <w:r>
        <w:t xml:space="preserve">Tennis-Scoring, Statistik-Aggregation und Security-Pfade haben dedizierte Test-Suites; das 70-%-Branch-Coverage-Gate hält diese Disziplin durch.</w:t>
      </w:r>
    </w:p>
    <w:p>
      <w:r>
        <w:pict>
          <v:rect style="width:0;height:1.5pt" o:hralign="center" o:hrstd="t" o:hr="t"/>
        </w:pict>
      </w:r>
    </w:p>
    <w:bookmarkEnd w:id="89"/>
    <w:bookmarkEnd w:id="90"/>
    <w:bookmarkStart w:id="91" w:name="glossar"/>
    <w:p>
      <w:pPr>
        <w:pStyle w:val="Heading2"/>
      </w:pPr>
      <w:r>
        <w:t xml:space="preserve">15. Glossar</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Begriff</w:t>
            </w:r>
          </w:p>
        </w:tc>
        <w:tc>
          <w:tcPr/>
          <w:p>
            <w:pPr>
              <w:pStyle w:val="Compact"/>
            </w:pPr>
            <w:r>
              <w:t xml:space="preserve">Definition</w:t>
            </w:r>
          </w:p>
        </w:tc>
      </w:tr>
      <w:tr>
        <w:tc>
          <w:tcPr/>
          <w:p>
            <w:pPr>
              <w:pStyle w:val="Compact"/>
            </w:pPr>
            <w:r>
              <w:rPr>
                <w:b/>
                <w:bCs/>
              </w:rPr>
              <w:t xml:space="preserve">TSaS</w:t>
            </w:r>
          </w:p>
        </w:tc>
        <w:tc>
          <w:tcPr/>
          <w:p>
            <w:pPr>
              <w:pStyle w:val="Compact"/>
            </w:pPr>
            <w:r>
              <w:t xml:space="preserve">Tennis Score and Statistic – Name der Applikation</w:t>
            </w:r>
          </w:p>
        </w:tc>
      </w:tr>
      <w:tr>
        <w:tc>
          <w:tcPr/>
          <w:p>
            <w:pPr>
              <w:pStyle w:val="Compact"/>
            </w:pPr>
            <w:r>
              <w:rPr>
                <w:b/>
                <w:bCs/>
              </w:rPr>
              <w:t xml:space="preserve">MVP</w:t>
            </w:r>
          </w:p>
        </w:tc>
        <w:tc>
          <w:tcPr/>
          <w:p>
            <w:pPr>
              <w:pStyle w:val="Compact"/>
            </w:pPr>
            <w:r>
              <w:t xml:space="preserve">Minimum Viable Product – erste lauffähige Version mit Kernfunktionalität</w:t>
            </w:r>
          </w:p>
        </w:tc>
      </w:tr>
      <w:tr>
        <w:tc>
          <w:tcPr/>
          <w:p>
            <w:pPr>
              <w:pStyle w:val="Compact"/>
            </w:pPr>
            <w:r>
              <w:rPr>
                <w:b/>
                <w:bCs/>
              </w:rPr>
              <w:t xml:space="preserve">Modularer Monolith</w:t>
            </w:r>
          </w:p>
        </w:tc>
        <w:tc>
          <w:tcPr/>
          <w:p>
            <w:pPr>
              <w:pStyle w:val="Compact"/>
            </w:pPr>
            <w:r>
              <w:t xml:space="preserve">Architekturmuster, bei dem eine Anwendung als einzelne deploybare Einheit strukturiert ist, intern aber in lose gekoppelte Module aufgeteilt wird</w:t>
            </w:r>
          </w:p>
        </w:tc>
      </w:tr>
      <w:tr>
        <w:tc>
          <w:tcPr/>
          <w:p>
            <w:pPr>
              <w:pStyle w:val="Compact"/>
            </w:pPr>
            <w:r>
              <w:rPr>
                <w:b/>
                <w:bCs/>
              </w:rPr>
              <w:t xml:space="preserve">Clean Architecture</w:t>
            </w:r>
          </w:p>
        </w:tc>
        <w:tc>
          <w:tcPr/>
          <w:p>
            <w:pPr>
              <w:pStyle w:val="Compact"/>
            </w:pPr>
            <w:r>
              <w:t xml:space="preserve">Architekturmuster nach Robert C. Martin, bei dem Abhängigkeiten stets von aussen (Infrastruktur, Adapter) nach innen (Domain) zeigen. Die Domänenschicht ist frei von Framework-Abhängigkeiten.</w:t>
            </w:r>
          </w:p>
        </w:tc>
      </w:tr>
      <w:tr>
        <w:tc>
          <w:tcPr/>
          <w:p>
            <w:pPr>
              <w:pStyle w:val="Compact"/>
            </w:pPr>
            <w:r>
              <w:rPr>
                <w:b/>
                <w:bCs/>
              </w:rPr>
              <w:t xml:space="preserve">OIDC</w:t>
            </w:r>
          </w:p>
        </w:tc>
        <w:tc>
          <w:tcPr/>
          <w:p>
            <w:pPr>
              <w:pStyle w:val="Compact"/>
            </w:pPr>
            <w:r>
              <w:t xml:space="preserve">OpenID Connect – Authentifizierungsschicht auf Basis von OAuth2</w:t>
            </w:r>
          </w:p>
        </w:tc>
      </w:tr>
      <w:tr>
        <w:tc>
          <w:tcPr/>
          <w:p>
            <w:pPr>
              <w:pStyle w:val="Compact"/>
            </w:pPr>
            <w:r>
              <w:rPr>
                <w:b/>
                <w:bCs/>
              </w:rPr>
              <w:t xml:space="preserve">OAuth2</w:t>
            </w:r>
          </w:p>
        </w:tc>
        <w:tc>
          <w:tcPr/>
          <w:p>
            <w:pPr>
              <w:pStyle w:val="Compact"/>
            </w:pPr>
            <w:r>
              <w:t xml:space="preserve">Autorisierungsframework für delegierte Zugriffsrechte</w:t>
            </w:r>
          </w:p>
        </w:tc>
      </w:tr>
      <w:tr>
        <w:tc>
          <w:tcPr/>
          <w:p>
            <w:pPr>
              <w:pStyle w:val="Compact"/>
            </w:pPr>
            <w:r>
              <w:rPr>
                <w:b/>
                <w:bCs/>
              </w:rPr>
              <w:t xml:space="preserve">PKCE</w:t>
            </w:r>
          </w:p>
        </w:tc>
        <w:tc>
          <w:tcPr/>
          <w:p>
            <w:pPr>
              <w:pStyle w:val="Compact"/>
            </w:pPr>
            <w:r>
              <w:t xml:space="preserve">Proof Key for Code Exchange – Sicherheitserweiterung für OAuth2 Authorization Code Flow</w:t>
            </w:r>
          </w:p>
        </w:tc>
      </w:tr>
      <w:tr>
        <w:tc>
          <w:tcPr/>
          <w:p>
            <w:pPr>
              <w:pStyle w:val="Compact"/>
            </w:pPr>
            <w:r>
              <w:rPr>
                <w:b/>
                <w:bCs/>
              </w:rPr>
              <w:t xml:space="preserve">IDP</w:t>
            </w:r>
          </w:p>
        </w:tc>
        <w:tc>
          <w:tcPr/>
          <w:p>
            <w:pPr>
              <w:pStyle w:val="Compact"/>
            </w:pPr>
            <w:r>
              <w:t xml:space="preserve">Identity Provider – System zur Verwaltung und Verifizierung von Benutzeridentitäten</w:t>
            </w:r>
          </w:p>
        </w:tc>
      </w:tr>
      <w:tr>
        <w:tc>
          <w:tcPr/>
          <w:p>
            <w:pPr>
              <w:pStyle w:val="Compact"/>
            </w:pPr>
            <w:r>
              <w:rPr>
                <w:b/>
                <w:bCs/>
              </w:rPr>
              <w:t xml:space="preserve">Keycloak</w:t>
            </w:r>
          </w:p>
        </w:tc>
        <w:tc>
          <w:tcPr/>
          <w:p>
            <w:pPr>
              <w:pStyle w:val="Compact"/>
            </w:pPr>
            <w:r>
              <w:t xml:space="preserve">Open-Source Identity and Access Management Lösung von Red Hat</w:t>
            </w:r>
          </w:p>
        </w:tc>
      </w:tr>
      <w:tr>
        <w:tc>
          <w:tcPr/>
          <w:p>
            <w:pPr>
              <w:pStyle w:val="Compact"/>
            </w:pPr>
            <w:r>
              <w:rPr>
                <w:b/>
                <w:bCs/>
              </w:rPr>
              <w:t xml:space="preserve">Head-to-Head</w:t>
            </w:r>
          </w:p>
        </w:tc>
        <w:tc>
          <w:tcPr/>
          <w:p>
            <w:pPr>
              <w:pStyle w:val="Compact"/>
            </w:pPr>
            <w:r>
              <w:t xml:space="preserve">Direktvergleich der Statistiken zweier Spieler über alle bisherigen Begegnungen</w:t>
            </w:r>
          </w:p>
        </w:tc>
      </w:tr>
      <w:tr>
        <w:tc>
          <w:tcPr/>
          <w:p>
            <w:pPr>
              <w:pStyle w:val="Compact"/>
            </w:pPr>
            <w:r>
              <w:rPr>
                <w:b/>
                <w:bCs/>
              </w:rPr>
              <w:t xml:space="preserve">Winner</w:t>
            </w:r>
          </w:p>
        </w:tc>
        <w:tc>
          <w:tcPr/>
          <w:p>
            <w:pPr>
              <w:pStyle w:val="Compact"/>
            </w:pPr>
            <w:r>
              <w:t xml:space="preserve">Ein Schlag, der direkt zum Punktgewinn führt, ohne dass der Gegner den Ball berührt</w:t>
            </w:r>
          </w:p>
        </w:tc>
      </w:tr>
      <w:tr>
        <w:tc>
          <w:tcPr/>
          <w:p>
            <w:pPr>
              <w:pStyle w:val="Compact"/>
            </w:pPr>
            <w:r>
              <w:rPr>
                <w:b/>
                <w:bCs/>
              </w:rPr>
              <w:t xml:space="preserve">Unforced Error</w:t>
            </w:r>
          </w:p>
        </w:tc>
        <w:tc>
          <w:tcPr/>
          <w:p>
            <w:pPr>
              <w:pStyle w:val="Compact"/>
            </w:pPr>
            <w:r>
              <w:t xml:space="preserve">Ein Fehler, der ohne Druckeinwirkung des Gegners entsteht</w:t>
            </w:r>
          </w:p>
        </w:tc>
      </w:tr>
      <w:tr>
        <w:tc>
          <w:tcPr/>
          <w:p>
            <w:pPr>
              <w:pStyle w:val="Compact"/>
            </w:pPr>
            <w:r>
              <w:rPr>
                <w:b/>
                <w:bCs/>
              </w:rPr>
              <w:t xml:space="preserve">Ace</w:t>
            </w:r>
          </w:p>
        </w:tc>
        <w:tc>
          <w:tcPr/>
          <w:p>
            <w:pPr>
              <w:pStyle w:val="Compact"/>
            </w:pPr>
            <w:r>
              <w:t xml:space="preserve">Ein Aufschlag, den der Gegner nicht berühren kann</w:t>
            </w:r>
          </w:p>
        </w:tc>
      </w:tr>
      <w:tr>
        <w:tc>
          <w:tcPr/>
          <w:p>
            <w:pPr>
              <w:pStyle w:val="Compact"/>
            </w:pPr>
            <w:r>
              <w:rPr>
                <w:b/>
                <w:bCs/>
              </w:rPr>
              <w:t xml:space="preserve">Double Fault</w:t>
            </w:r>
          </w:p>
        </w:tc>
        <w:tc>
          <w:tcPr/>
          <w:p>
            <w:pPr>
              <w:pStyle w:val="Compact"/>
            </w:pPr>
            <w:r>
              <w:t xml:space="preserve">Zwei aufeinanderfolgende Aufschlagfehler, die zum Punktverlust führen</w:t>
            </w:r>
          </w:p>
        </w:tc>
      </w:tr>
      <w:tr>
        <w:tc>
          <w:tcPr/>
          <w:p>
            <w:pPr>
              <w:pStyle w:val="Compact"/>
            </w:pPr>
            <w:r>
              <w:rPr>
                <w:b/>
                <w:bCs/>
              </w:rPr>
              <w:t xml:space="preserve">Tiebreak</w:t>
            </w:r>
          </w:p>
        </w:tc>
        <w:tc>
          <w:tcPr/>
          <w:p>
            <w:pPr>
              <w:pStyle w:val="Compact"/>
            </w:pPr>
            <w:r>
              <w:t xml:space="preserve">Spezielles Entscheidungsspiel bei Satzgleichstand (meist 6:6)</w:t>
            </w:r>
          </w:p>
        </w:tc>
      </w:tr>
      <w:tr>
        <w:tc>
          <w:tcPr/>
          <w:p>
            <w:pPr>
              <w:pStyle w:val="Compact"/>
            </w:pPr>
            <w:r>
              <w:rPr>
                <w:b/>
                <w:bCs/>
              </w:rPr>
              <w:t xml:space="preserve">Match-Tiebreak</w:t>
            </w:r>
          </w:p>
        </w:tc>
        <w:tc>
          <w:tcPr/>
          <w:p>
            <w:pPr>
              <w:pStyle w:val="Compact"/>
            </w:pPr>
            <w:r>
              <w:t xml:space="preserve">Verkürzter Entscheidungssatz, der durch einen Tiebreak bis 10 Punkte entschieden wird</w:t>
            </w:r>
          </w:p>
        </w:tc>
      </w:tr>
      <w:tr>
        <w:tc>
          <w:tcPr/>
          <w:p>
            <w:pPr>
              <w:pStyle w:val="Compact"/>
            </w:pPr>
            <w:r>
              <w:rPr>
                <w:b/>
                <w:bCs/>
              </w:rPr>
              <w:t xml:space="preserve">Short Set</w:t>
            </w:r>
          </w:p>
        </w:tc>
        <w:tc>
          <w:tcPr/>
          <w:p>
            <w:pPr>
              <w:pStyle w:val="Compact"/>
            </w:pPr>
            <w:r>
              <w:t xml:space="preserve">Verkürzter Satz, der bis 4 Games statt 6 gespielt wird</w:t>
            </w:r>
          </w:p>
        </w:tc>
      </w:tr>
    </w:tbl>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75" Target="media/rId75.png" /><Relationship Type="http://schemas.openxmlformats.org/officeDocument/2006/relationships/image" Id="rId52" Target="media/rId52.png" /><Relationship Type="http://schemas.openxmlformats.org/officeDocument/2006/relationships/image" Id="rId17" Target="media/rId17.png" /><Relationship Type="http://schemas.openxmlformats.org/officeDocument/2006/relationships/image" Id="rId45" Target="media/rId45.png" /><Relationship Type="http://schemas.openxmlformats.org/officeDocument/2006/relationships/image" Id="rId40" Target="media/rId40.png" /><Relationship Type="http://schemas.openxmlformats.org/officeDocument/2006/relationships/hyperlink" Id="rId37" Target="diagrams/TSaS_Backend_CleanArchitecture.drawio" TargetMode="External" /><Relationship Type="http://schemas.openxmlformats.org/officeDocument/2006/relationships/hyperlink" Id="rId32" Target="diagrams/TSaS_Backend_Module.drawio" TargetMode="External" /><Relationship Type="http://schemas.openxmlformats.org/officeDocument/2006/relationships/hyperlink" Id="rId78" Target="diagrams/TSaS_Datenmodell.drawio" TargetMode="External" /><Relationship Type="http://schemas.openxmlformats.org/officeDocument/2006/relationships/hyperlink" Id="rId55" Target="diagrams/TSaS_Deployment.drawio" TargetMode="External" /><Relationship Type="http://schemas.openxmlformats.org/officeDocument/2006/relationships/hyperlink" Id="rId20" Target="diagrams/TSaS_Fachlicher_Kontext.drawio" TargetMode="External" /><Relationship Type="http://schemas.openxmlformats.org/officeDocument/2006/relationships/hyperlink" Id="rId48" Target="diagrams/TSaS_Seq_GenerateAnalysis.puml" TargetMode="External" /><Relationship Type="http://schemas.openxmlformats.org/officeDocument/2006/relationships/hyperlink" Id="rId43" Target="diagrams/TSaS_Seq_RecordPoint.puml" TargetMode="External" /></Relationships>
</file>

<file path=word/_rels/footnotes.xml.rels><?xml version="1.0" encoding="UTF-8"?><Relationships xmlns="http://schemas.openxmlformats.org/package/2006/relationships"><Relationship Type="http://schemas.openxmlformats.org/officeDocument/2006/relationships/hyperlink" Id="rId37" Target="diagrams/TSaS_Backend_CleanArchitecture.drawio" TargetMode="External" /><Relationship Type="http://schemas.openxmlformats.org/officeDocument/2006/relationships/hyperlink" Id="rId32" Target="diagrams/TSaS_Backend_Module.drawio" TargetMode="External" /><Relationship Type="http://schemas.openxmlformats.org/officeDocument/2006/relationships/hyperlink" Id="rId78" Target="diagrams/TSaS_Datenmodell.drawio" TargetMode="External" /><Relationship Type="http://schemas.openxmlformats.org/officeDocument/2006/relationships/hyperlink" Id="rId55" Target="diagrams/TSaS_Deployment.drawio" TargetMode="External" /><Relationship Type="http://schemas.openxmlformats.org/officeDocument/2006/relationships/hyperlink" Id="rId20" Target="diagrams/TSaS_Fachlicher_Kontext.drawio" TargetMode="External" /><Relationship Type="http://schemas.openxmlformats.org/officeDocument/2006/relationships/hyperlink" Id="rId48" Target="diagrams/TSaS_Seq_GenerateAnalysis.puml" TargetMode="External" /><Relationship Type="http://schemas.openxmlformats.org/officeDocument/2006/relationships/hyperlink" Id="rId43" Target="diagrams/TSaS_Seq_RecordPoint.pu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Helvetic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Helvetic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de-DE</dc:language>
  <cp:keywords/>
  <dcterms:created xsi:type="dcterms:W3CDTF">2026-06-24T14:51:41Z</dcterms:created>
  <dcterms:modified xsi:type="dcterms:W3CDTF">2026-06-24T14:51:41Z</dcterms:modified>
</cp:coreProperties>
</file>

<file path=docProps/custom.xml><?xml version="1.0" encoding="utf-8"?>
<Properties xmlns="http://schemas.openxmlformats.org/officeDocument/2006/custom-properties" xmlns:vt="http://schemas.openxmlformats.org/officeDocument/2006/docPropsVTypes"/>
</file>