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1.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58"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 + Angular SPA (statische Build-Artefakte)</w:t>
            </w:r>
          </w:p>
        </w:tc>
        <w:tc>
          <w:tcPr/>
          <w:p>
            <w:pPr>
              <w:pStyle w:val="Compact"/>
            </w:pPr>
            <w:r>
              <w:t xml:space="preserve">80</w:t>
            </w:r>
          </w:p>
        </w:tc>
        <w:tc>
          <w:tcPr/>
          <w:p>
            <w:pPr>
              <w:pStyle w:val="Compact"/>
            </w:pPr>
            <w:r>
              <w:t xml:space="preserve">Nginx liefert die SPA aus und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57"/>
    <w:bookmarkEnd w:id="58"/>
    <w:bookmarkStart w:id="66" w:name="querschnittliche-konzepte"/>
    <w:p>
      <w:pPr>
        <w:pStyle w:val="Heading2"/>
      </w:pPr>
      <w:r>
        <w:t xml:space="preserve">8. Querschnittliche Konzepte</w:t>
      </w:r>
    </w:p>
    <w:bookmarkStart w:id="59"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59"/>
    <w:bookmarkStart w:id="60"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7"/>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7"/>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7"/>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7"/>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7"/>
        </w:numPr>
      </w:pPr>
      <w:r>
        <w:t xml:space="preserve">Die Migrationsskripte verwenden ausschliesslich ANSI-SQL, das mit PostgreSQL und H2 kompatibel ist (kein datenbankspezifischer SQL-Dialekt), damit auch das lokale H2-Profil Flyway-gesteuert ist.</w:t>
      </w:r>
    </w:p>
    <w:bookmarkEnd w:id="60"/>
    <w:bookmarkStart w:id="61"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1"/>
    <w:bookmarkStart w:id="62"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2"/>
    <w:bookmarkStart w:id="63" w:name="testkonzept"/>
    <w:p>
      <w:pPr>
        <w:pStyle w:val="Heading3"/>
      </w:pPr>
      <w:r>
        <w:t xml:space="preserve">8.5 Testkonzept</w:t>
      </w:r>
    </w:p>
    <w:p>
      <w:pPr>
        <w:pStyle w:val="Compact"/>
        <w:numPr>
          <w:ilvl w:val="0"/>
          <w:numId w:val="1008"/>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8"/>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8"/>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8"/>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3"/>
    <w:bookmarkStart w:id="64"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4"/>
    <w:bookmarkStart w:id="65"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09"/>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09"/>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09"/>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5"/>
    <w:bookmarkEnd w:id="66"/>
    <w:bookmarkStart w:id="67"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bl>
    <w:p>
      <w:r>
        <w:pict>
          <v:rect style="width:0;height:1.5pt" o:hralign="center" o:hrstd="t" o:hr="t"/>
        </w:pict>
      </w:r>
    </w:p>
    <w:bookmarkEnd w:id="67"/>
    <w:bookmarkStart w:id="70" w:name="qualitätsanforderungen"/>
    <w:p>
      <w:pPr>
        <w:pStyle w:val="Heading2"/>
      </w:pPr>
      <w:r>
        <w:t xml:space="preserve">10. Qualitätsanforderungen</w:t>
      </w:r>
    </w:p>
    <w:bookmarkStart w:id="68"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68"/>
    <w:bookmarkStart w:id="69"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69"/>
    <w:bookmarkEnd w:id="70"/>
    <w:bookmarkStart w:id="76"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2" name="Picture"/>
            <a:graphic>
              <a:graphicData uri="http://schemas.openxmlformats.org/drawingml/2006/picture">
                <pic:pic>
                  <pic:nvPicPr>
                    <pic:cNvPr descr="Datenmodell.png" id="73" name="Picture"/>
                    <pic:cNvPicPr>
                      <a:picLocks noChangeArrowheads="1" noChangeAspect="1"/>
                    </pic:cNvPicPr>
                  </pic:nvPicPr>
                  <pic:blipFill>
                    <a:blip r:embed="rId71"/>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4">
        <w:r>
          <w:rPr>
            <w:rStyle w:val="VerbatimChar"/>
            <w:i/>
            <w:iCs/>
          </w:rPr>
          <w:t xml:space="preserve">diagrams/TSaS_Datenmodell.drawio</w:t>
        </w:r>
      </w:hyperlink>
      <w:r>
        <w:rPr>
          <w:i/>
          <w:iCs/>
        </w:rPr>
        <w:t xml:space="preserve">. Authoritatives Schema: Flyway-Migrationen V1–V5.</w:t>
      </w:r>
    </w:p>
    <w:bookmarkStart w:id="75"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5"/>
    <w:bookmarkEnd w:id="76"/>
    <w:bookmarkStart w:id="77"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77"/>
    <w:bookmarkStart w:id="81" w:name="ki-werkzeuge-im-projekt"/>
    <w:p>
      <w:pPr>
        <w:pStyle w:val="Heading2"/>
      </w:pPr>
      <w:r>
        <w:t xml:space="preserve">13. KI-Werkzeuge im Projekt</w:t>
      </w:r>
    </w:p>
    <w:bookmarkStart w:id="78"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78"/>
    <w:bookmarkStart w:id="79"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0"/>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0"/>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0"/>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1"/>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2"/>
        </w:numPr>
      </w:pPr>
      <w:r>
        <w:rPr>
          <w:rStyle w:val="VerbatimChar"/>
        </w:rPr>
        <w:t xml:space="preserve">cc6e502 feat(match): typed enums + @Size on RecordPointRequest + IT (TEN-60)</w:t>
      </w:r>
    </w:p>
    <w:p>
      <w:pPr>
        <w:pStyle w:val="Compact"/>
        <w:numPr>
          <w:ilvl w:val="0"/>
          <w:numId w:val="1012"/>
        </w:numPr>
      </w:pPr>
      <w:r>
        <w:rPr>
          <w:rStyle w:val="VerbatimChar"/>
        </w:rPr>
        <w:t xml:space="preserve">d96f4da feat(player): @Size limits on DTO string fields + IT (TEN-60)</w:t>
      </w:r>
    </w:p>
    <w:p>
      <w:pPr>
        <w:pStyle w:val="Compact"/>
        <w:numPr>
          <w:ilvl w:val="0"/>
          <w:numId w:val="1012"/>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79"/>
    <w:bookmarkStart w:id="80"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0"/>
    <w:bookmarkEnd w:id="81"/>
    <w:bookmarkStart w:id="86"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2"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2"/>
    <w:bookmarkStart w:id="83"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3"/>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3"/>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3"/>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3"/>
    <w:bookmarkStart w:id="84"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4"/>
    <w:bookmarkStart w:id="85" w:name="übertrag-auf-die-künftige-arbeitsweise"/>
    <w:p>
      <w:pPr>
        <w:pStyle w:val="Heading3"/>
      </w:pPr>
      <w:r>
        <w:t xml:space="preserve">14.4 Übertrag auf die künftige Arbeitsweise</w:t>
      </w:r>
    </w:p>
    <w:p>
      <w:pPr>
        <w:pStyle w:val="Compact"/>
        <w:numPr>
          <w:ilvl w:val="0"/>
          <w:numId w:val="1014"/>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4"/>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4"/>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4"/>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5"/>
    <w:bookmarkEnd w:id="86"/>
    <w:bookmarkStart w:id="87"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4"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4"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2026-06-23T16:31:23Z</dcterms:created>
  <dcterms:modified xsi:type="dcterms:W3CDTF">2026-06-23T16:31:23Z</dcterms:modified>
</cp:coreProperties>
</file>

<file path=docProps/custom.xml><?xml version="1.0" encoding="utf-8"?>
<Properties xmlns="http://schemas.openxmlformats.org/officeDocument/2006/custom-properties" xmlns:vt="http://schemas.openxmlformats.org/officeDocument/2006/docPropsVTypes"/>
</file>