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63.png" ContentType="image/png"/>
  <Override PartName="/word/media/rId4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bookmarkStart w:id="9" w:name="inhaltsverzeichnis"/>
    <w:p>
      <w:pPr>
        <w:pStyle w:val="Heading2"/>
      </w:pPr>
      <w:r>
        <w:t xml:space="preserve">Inhaltsverzeichnis</w:t>
      </w:r>
    </w:p>
    <w:p>
      <w:pPr>
        <w:pStyle w:val="Compact"/>
        <w:numPr>
          <w:ilvl w:val="0"/>
          <w:numId w:val="1001"/>
        </w:numPr>
      </w:pPr>
      <w:r>
        <w:t xml:space="preserve">Einführung und Ziele</w:t>
      </w:r>
    </w:p>
    <w:p>
      <w:pPr>
        <w:pStyle w:val="Compact"/>
        <w:numPr>
          <w:ilvl w:val="0"/>
          <w:numId w:val="1001"/>
        </w:numPr>
      </w:pPr>
      <w:r>
        <w:t xml:space="preserve">Randbedingungen</w:t>
      </w:r>
    </w:p>
    <w:p>
      <w:pPr>
        <w:pStyle w:val="Compact"/>
        <w:numPr>
          <w:ilvl w:val="0"/>
          <w:numId w:val="1001"/>
        </w:numPr>
      </w:pPr>
      <w:r>
        <w:t xml:space="preserve">Kontextabgrenzung</w:t>
      </w:r>
    </w:p>
    <w:p>
      <w:pPr>
        <w:pStyle w:val="Compact"/>
        <w:numPr>
          <w:ilvl w:val="0"/>
          <w:numId w:val="1001"/>
        </w:numPr>
      </w:pPr>
      <w:r>
        <w:t xml:space="preserve">Lösungsstrategie</w:t>
      </w:r>
    </w:p>
    <w:p>
      <w:pPr>
        <w:pStyle w:val="Compact"/>
        <w:numPr>
          <w:ilvl w:val="0"/>
          <w:numId w:val="1001"/>
        </w:numPr>
      </w:pPr>
      <w:r>
        <w:t xml:space="preserve">Bausteinsicht</w:t>
      </w:r>
    </w:p>
    <w:p>
      <w:pPr>
        <w:pStyle w:val="Compact"/>
        <w:numPr>
          <w:ilvl w:val="0"/>
          <w:numId w:val="1001"/>
        </w:numPr>
      </w:pPr>
      <w:r>
        <w:t xml:space="preserve">Laufzeitsicht</w:t>
      </w:r>
    </w:p>
    <w:p>
      <w:pPr>
        <w:pStyle w:val="Compact"/>
        <w:numPr>
          <w:ilvl w:val="0"/>
          <w:numId w:val="1001"/>
        </w:numPr>
      </w:pPr>
      <w:r>
        <w:t xml:space="preserve">Verteilungssicht</w:t>
      </w:r>
    </w:p>
    <w:p>
      <w:pPr>
        <w:pStyle w:val="Compact"/>
        <w:numPr>
          <w:ilvl w:val="0"/>
          <w:numId w:val="1001"/>
        </w:numPr>
      </w:pPr>
      <w:r>
        <w:t xml:space="preserve">Querschnittliche Konzepte</w:t>
      </w:r>
    </w:p>
    <w:p>
      <w:pPr>
        <w:pStyle w:val="Compact"/>
        <w:numPr>
          <w:ilvl w:val="0"/>
          <w:numId w:val="1001"/>
        </w:numPr>
      </w:pPr>
      <w:r>
        <w:t xml:space="preserve">Architekturentscheidungen</w:t>
      </w:r>
    </w:p>
    <w:p>
      <w:pPr>
        <w:pStyle w:val="Compact"/>
        <w:numPr>
          <w:ilvl w:val="0"/>
          <w:numId w:val="1001"/>
        </w:numPr>
      </w:pPr>
      <w:r>
        <w:t xml:space="preserve">Qualitätsanforderungen</w:t>
      </w:r>
    </w:p>
    <w:p>
      <w:pPr>
        <w:pStyle w:val="Compact"/>
        <w:numPr>
          <w:ilvl w:val="0"/>
          <w:numId w:val="1001"/>
        </w:numPr>
      </w:pPr>
      <w:r>
        <w:t xml:space="preserve">Datenmodell</w:t>
      </w:r>
    </w:p>
    <w:p>
      <w:pPr>
        <w:pStyle w:val="Compact"/>
        <w:numPr>
          <w:ilvl w:val="0"/>
          <w:numId w:val="1001"/>
        </w:numPr>
      </w:pPr>
      <w:r>
        <w:t xml:space="preserve">Risiken und technische Schulden</w:t>
      </w:r>
    </w:p>
    <w:p>
      <w:pPr>
        <w:pStyle w:val="Compact"/>
        <w:numPr>
          <w:ilvl w:val="0"/>
          <w:numId w:val="1001"/>
        </w:numPr>
      </w:pPr>
      <w:r>
        <w:t xml:space="preserve">Glossar</w:t>
      </w:r>
    </w:p>
    <w:p>
      <w:r>
        <w:pict>
          <v:rect style="width:0;height:1.5pt" o:hralign="center" o:hrstd="t" o:hr="t"/>
        </w:pict>
      </w:r>
    </w:p>
    <w:bookmarkEnd w:id="9"/>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10"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10"/>
    <w:bookmarkStart w:id="11"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1"/>
    <w:bookmarkStart w:id="12"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2"/>
        </w:numPr>
      </w:pPr>
      <w:r>
        <w:t xml:space="preserve">Die App soll für Tennisspieler selbsterklärend sein. Fachbegriffe aus der Tenniswelt dürfen verwendet werden.</w:t>
      </w:r>
    </w:p>
    <w:p>
      <w:pPr>
        <w:pStyle w:val="Compact"/>
        <w:numPr>
          <w:ilvl w:val="0"/>
          <w:numId w:val="1002"/>
        </w:numPr>
      </w:pPr>
      <w:r>
        <w:t xml:space="preserve">Erste Version (MVP) als reine Web-Applikation. Native iOS-App ist für Version 2 geplant.</w:t>
      </w:r>
    </w:p>
    <w:p>
      <w:pPr>
        <w:pStyle w:val="Compact"/>
        <w:numPr>
          <w:ilvl w:val="0"/>
          <w:numId w:val="1002"/>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3"/>
        </w:numPr>
      </w:pPr>
      <w:r>
        <w:t xml:space="preserve">Relativ kleine Applikation zu Beginn – ein Microservice-Ansatz wäre Over-Engineering.</w:t>
      </w:r>
    </w:p>
    <w:p>
      <w:pPr>
        <w:pStyle w:val="Compact"/>
        <w:numPr>
          <w:ilvl w:val="0"/>
          <w:numId w:val="1003"/>
        </w:numPr>
      </w:pPr>
      <w:r>
        <w:t xml:space="preserve">Vereinfachtes Deployment als einzelne deploybare Einheit.</w:t>
      </w:r>
    </w:p>
    <w:p>
      <w:pPr>
        <w:pStyle w:val="Compact"/>
        <w:numPr>
          <w:ilvl w:val="0"/>
          <w:numId w:val="1003"/>
        </w:numPr>
      </w:pPr>
      <w:r>
        <w:t xml:space="preserve">Modularität innerhalb des Monolithen ermöglicht ein nachträgliches Aufteilen in einzelne Services, falls dies notwendig wird.</w:t>
      </w:r>
    </w:p>
    <w:p>
      <w:pPr>
        <w:pStyle w:val="Compact"/>
        <w:numPr>
          <w:ilvl w:val="0"/>
          <w:numId w:val="1003"/>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4"/>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4"/>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4"/>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43" w:name="laufzeitsicht"/>
    <w:p>
      <w:pPr>
        <w:pStyle w:val="Heading2"/>
      </w:pPr>
      <w:r>
        <w:t xml:space="preserve">6. Laufzeitsicht</w:t>
      </w:r>
    </w:p>
    <w:bookmarkStart w:id="40" w:name="szenario-punkt-erfassen"/>
    <w:p>
      <w:pPr>
        <w:pStyle w:val="Heading3"/>
      </w:pPr>
      <w:r>
        <w:t xml:space="preserve">6.1 Szenario: Punkt erfassen</w:t>
      </w:r>
    </w:p>
    <w:p>
      <w:pPr>
        <w:pStyle w:val="FirstParagraph"/>
      </w:pPr>
      <w:r>
        <w:t xml:space="preserve">Dieses Szenario beschreibt den typischen Ablauf, wenn ein Trainer während eines Matches einen Punkt erfasst:</w:t>
      </w:r>
    </w:p>
    <w:p>
      <w:pPr>
        <w:pStyle w:val="Compact"/>
        <w:numPr>
          <w:ilvl w:val="0"/>
          <w:numId w:val="1005"/>
        </w:numPr>
      </w:pPr>
      <w:r>
        <w:t xml:space="preserve">Der Trainer klickt im Angular-Frontend auf die Schaltfläche für den Punkttyp (z.B. „Forehand Winner”).</w:t>
      </w:r>
    </w:p>
    <w:p>
      <w:pPr>
        <w:pStyle w:val="Compact"/>
        <w:numPr>
          <w:ilvl w:val="0"/>
          <w:numId w:val="1005"/>
        </w:numPr>
      </w:pPr>
      <w:r>
        <w:t xml:space="preserve">Das Frontend sendet einen POST-Request an /api/matches/{id}/points mit dem Bearer Token im Authorization-Header.</w:t>
      </w:r>
    </w:p>
    <w:p>
      <w:pPr>
        <w:pStyle w:val="Compact"/>
        <w:numPr>
          <w:ilvl w:val="0"/>
          <w:numId w:val="1005"/>
        </w:numPr>
      </w:pPr>
      <w:r>
        <w:t xml:space="preserve">Das Spring Boot API validiert das Token via Keycloak.</w:t>
      </w:r>
    </w:p>
    <w:p>
      <w:pPr>
        <w:pStyle w:val="Compact"/>
        <w:numPr>
          <w:ilvl w:val="0"/>
          <w:numId w:val="1005"/>
        </w:numPr>
      </w:pPr>
      <w:r>
        <w:t xml:space="preserve">Das match-module (Scoring-Logik) verarbeitet den Punkt: Aktualisierung des Spielstands (Punkte, Games, Sets), Persistierung in der POINT-Tabelle.</w:t>
      </w:r>
    </w:p>
    <w:p>
      <w:pPr>
        <w:pStyle w:val="Compact"/>
        <w:numPr>
          <w:ilvl w:val="0"/>
          <w:numId w:val="1005"/>
        </w:numPr>
      </w:pPr>
      <w:r>
        <w:t xml:space="preserve">Das match-module aktualisiert die CURRENT_SCORE-Tabelle; aggregierte Statistiken werden vom statistics-module on-the-fly aus den Points berechnet.</w:t>
      </w:r>
    </w:p>
    <w:p>
      <w:pPr>
        <w:pStyle w:val="Compact"/>
        <w:numPr>
          <w:ilvl w:val="0"/>
          <w:numId w:val="1005"/>
        </w:numPr>
      </w:pPr>
      <w:r>
        <w:t xml:space="preserve">Das API gibt den aktualisierten Spielstand als JSON zurück (HTTP 200).</w:t>
      </w:r>
    </w:p>
    <w:p>
      <w:pPr>
        <w:pStyle w:val="Compact"/>
        <w:numPr>
          <w:ilvl w:val="0"/>
          <w:numId w:val="1005"/>
        </w:numPr>
      </w:pPr>
      <w:r>
        <w:t xml:space="preserve">Das Frontend aktualisiert die Anzeige des Spielstands.</w:t>
      </w:r>
    </w:p>
    <w:bookmarkEnd w:id="40"/>
    <w:bookmarkStart w:id="41" w:name="X2fff043d07f14bccbec7d33989c0b93f7e0c4dd"/>
    <w:p>
      <w:pPr>
        <w:pStyle w:val="Heading3"/>
      </w:pPr>
      <w:r>
        <w:t xml:space="preserve">6.2 Szenario: KI-gestützte Match-Analyse (Postmortem)</w:t>
      </w:r>
    </w:p>
    <w:p>
      <w:pPr>
        <w:pStyle w:val="FirstParagraph"/>
      </w:pPr>
      <w:r>
        <w:t xml:space="preserve">Dieses Szenario beschreibt die Generierung einer taktischen Match-Analyse nach Match-Ende:</w:t>
      </w:r>
    </w:p>
    <w:p>
      <w:pPr>
        <w:pStyle w:val="Compact"/>
        <w:numPr>
          <w:ilvl w:val="0"/>
          <w:numId w:val="1006"/>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6"/>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6"/>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6"/>
        </w:numPr>
      </w:pPr>
      <w:r>
        <w:t xml:space="preserve">Der Service prüft: Match-Status = COMPLETED (sonst HTTP 409), Punktzahl ≥ 10 (sonst HTTP 422, Kostenschutz).</w:t>
      </w:r>
    </w:p>
    <w:p>
      <w:pPr>
        <w:pStyle w:val="Compact"/>
        <w:numPr>
          <w:ilvl w:val="0"/>
          <w:numId w:val="1006"/>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6"/>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6"/>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6"/>
        </w:numPr>
      </w:pPr>
      <w:r>
        <w:t xml:space="preserve">Das API antwortet mit HTTP 200 und der vollständigen Analyse.</w:t>
      </w:r>
    </w:p>
    <w:p>
      <w:pPr>
        <w:pStyle w:val="Compact"/>
        <w:numPr>
          <w:ilvl w:val="0"/>
          <w:numId w:val="1006"/>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6"/>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1"/>
    <w:bookmarkStart w:id="42"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7"/>
        </w:numPr>
      </w:pPr>
      <w:r>
        <w:t xml:space="preserve">Benutzer öffnet TSaS im Browser und wird zum Keycloak-Login weitergeleitet.</w:t>
      </w:r>
    </w:p>
    <w:p>
      <w:pPr>
        <w:pStyle w:val="Compact"/>
        <w:numPr>
          <w:ilvl w:val="0"/>
          <w:numId w:val="1007"/>
        </w:numPr>
      </w:pPr>
      <w:r>
        <w:t xml:space="preserve">Benutzer authentifiziert sich (Benutzername/Passwort oder Google IDP ab V2).</w:t>
      </w:r>
    </w:p>
    <w:p>
      <w:pPr>
        <w:pStyle w:val="Compact"/>
        <w:numPr>
          <w:ilvl w:val="0"/>
          <w:numId w:val="1007"/>
        </w:numPr>
      </w:pPr>
      <w:r>
        <w:t xml:space="preserve">Keycloak stellt Authorization Code aus und leitet zurück an TSaS.</w:t>
      </w:r>
    </w:p>
    <w:p>
      <w:pPr>
        <w:pStyle w:val="Compact"/>
        <w:numPr>
          <w:ilvl w:val="0"/>
          <w:numId w:val="1007"/>
        </w:numPr>
      </w:pPr>
      <w:r>
        <w:t xml:space="preserve">Das Frontend tauscht den Code gegen Access- und Refresh-Token.</w:t>
      </w:r>
    </w:p>
    <w:p>
      <w:pPr>
        <w:pStyle w:val="Compact"/>
        <w:numPr>
          <w:ilvl w:val="0"/>
          <w:numId w:val="1007"/>
        </w:numPr>
      </w:pPr>
      <w:r>
        <w:t xml:space="preserve">Bei jedem API-Call wird das Access-Token im Authorization-Header mitgesendet.</w:t>
      </w:r>
    </w:p>
    <w:p>
      <w:r>
        <w:pict>
          <v:rect style="width:0;height:1.5pt" o:hralign="center" o:hrstd="t" o:hr="t"/>
        </w:pict>
      </w:r>
    </w:p>
    <w:bookmarkEnd w:id="42"/>
    <w:bookmarkEnd w:id="43"/>
    <w:bookmarkStart w:id="50" w:name="verteilungssicht"/>
    <w:p>
      <w:pPr>
        <w:pStyle w:val="Heading2"/>
      </w:pPr>
      <w:r>
        <w:t xml:space="preserve">7. Verteilungssicht</w:t>
      </w:r>
    </w:p>
    <w:bookmarkStart w:id="48"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45" name="Picture"/>
            <a:graphic>
              <a:graphicData uri="http://schemas.openxmlformats.org/drawingml/2006/picture">
                <pic:pic>
                  <pic:nvPicPr>
                    <pic:cNvPr descr="Deployment.png" id="46" name="Picture"/>
                    <pic:cNvPicPr>
                      <a:picLocks noChangeArrowheads="1" noChangeAspect="1"/>
                    </pic:cNvPicPr>
                  </pic:nvPicPr>
                  <pic:blipFill>
                    <a:blip r:embed="rId44"/>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47">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 + Angular SPA (statische Build-Artefakte)</w:t>
            </w:r>
          </w:p>
        </w:tc>
        <w:tc>
          <w:tcPr/>
          <w:p>
            <w:pPr>
              <w:pStyle w:val="Compact"/>
            </w:pPr>
            <w:r>
              <w:t xml:space="preserve">80</w:t>
            </w:r>
          </w:p>
        </w:tc>
        <w:tc>
          <w:tcPr/>
          <w:p>
            <w:pPr>
              <w:pStyle w:val="Compact"/>
            </w:pPr>
            <w:r>
              <w:t xml:space="preserve">Nginx liefert die SPA aus und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48"/>
    <w:bookmarkStart w:id="49"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49"/>
    <w:bookmarkEnd w:id="50"/>
    <w:bookmarkStart w:id="58" w:name="querschnittliche-konzepte"/>
    <w:p>
      <w:pPr>
        <w:pStyle w:val="Heading2"/>
      </w:pPr>
      <w:r>
        <w:t xml:space="preserve">8. Querschnittliche Konzepte</w:t>
      </w:r>
    </w:p>
    <w:bookmarkStart w:id="51"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51"/>
    <w:bookmarkStart w:id="52"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8"/>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8"/>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8"/>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8"/>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8"/>
        </w:numPr>
      </w:pPr>
      <w:r>
        <w:t xml:space="preserve">Die Migrationsskripte verwenden ausschliesslich ANSI-SQL, das mit PostgreSQL und H2 kompatibel ist (kein datenbankspezifischer SQL-Dialekt), damit auch das lokale H2-Profil Flyway-gesteuert ist.</w:t>
      </w:r>
    </w:p>
    <w:bookmarkEnd w:id="52"/>
    <w:bookmarkStart w:id="53"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p>
    <w:bookmarkEnd w:id="53"/>
    <w:bookmarkStart w:id="54"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54"/>
    <w:bookmarkStart w:id="55" w:name="testkonzept"/>
    <w:p>
      <w:pPr>
        <w:pStyle w:val="Heading3"/>
      </w:pPr>
      <w:r>
        <w:t xml:space="preserve">8.5 Testkonzept</w:t>
      </w:r>
    </w:p>
    <w:p>
      <w:pPr>
        <w:pStyle w:val="Compact"/>
        <w:numPr>
          <w:ilvl w:val="0"/>
          <w:numId w:val="1009"/>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9"/>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9"/>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9"/>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55"/>
    <w:bookmarkStart w:id="56"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56"/>
    <w:bookmarkStart w:id="57"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0"/>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0"/>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0"/>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57"/>
    <w:bookmarkEnd w:id="58"/>
    <w:bookmarkStart w:id="59"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bl>
    <w:p>
      <w:r>
        <w:pict>
          <v:rect style="width:0;height:1.5pt" o:hralign="center" o:hrstd="t" o:hr="t"/>
        </w:pict>
      </w:r>
    </w:p>
    <w:bookmarkEnd w:id="59"/>
    <w:bookmarkStart w:id="62" w:name="qualitätsanforderungen"/>
    <w:p>
      <w:pPr>
        <w:pStyle w:val="Heading2"/>
      </w:pPr>
      <w:r>
        <w:t xml:space="preserve">10. Qualitätsanforderungen</w:t>
      </w:r>
    </w:p>
    <w:bookmarkStart w:id="60"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60"/>
    <w:bookmarkStart w:id="61"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61"/>
    <w:bookmarkEnd w:id="62"/>
    <w:bookmarkStart w:id="68"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64" name="Picture"/>
            <a:graphic>
              <a:graphicData uri="http://schemas.openxmlformats.org/drawingml/2006/picture">
                <pic:pic>
                  <pic:nvPicPr>
                    <pic:cNvPr descr="Datenmodell.png" id="65" name="Picture"/>
                    <pic:cNvPicPr>
                      <a:picLocks noChangeArrowheads="1" noChangeAspect="1"/>
                    </pic:cNvPicPr>
                  </pic:nvPicPr>
                  <pic:blipFill>
                    <a:blip r:embed="rId63"/>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66">
        <w:r>
          <w:rPr>
            <w:rStyle w:val="VerbatimChar"/>
            <w:i/>
            <w:iCs/>
          </w:rPr>
          <w:t xml:space="preserve">diagrams/TSaS_Datenmodell.drawio</w:t>
        </w:r>
      </w:hyperlink>
      <w:r>
        <w:rPr>
          <w:i/>
          <w:iCs/>
        </w:rPr>
        <w:t xml:space="preserve">. Authoritatives Schema: Flyway-Migrationen V1–V5.</w:t>
      </w:r>
    </w:p>
    <w:bookmarkStart w:id="67"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67"/>
    <w:bookmarkEnd w:id="68"/>
    <w:bookmarkStart w:id="69"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69"/>
    <w:bookmarkStart w:id="70" w:name="glossar"/>
    <w:p>
      <w:pPr>
        <w:pStyle w:val="Heading2"/>
      </w:pPr>
      <w:r>
        <w:t xml:space="preserve">13.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63" Target="media/rId63.png" /><Relationship Type="http://schemas.openxmlformats.org/officeDocument/2006/relationships/image" Id="rId44" Target="media/rId44.png" /><Relationship Type="http://schemas.openxmlformats.org/officeDocument/2006/relationships/image" Id="rId17" Target="media/rId17.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66" Target="diagrams/TSaS_Datenmodell.drawio" TargetMode="External" /><Relationship Type="http://schemas.openxmlformats.org/officeDocument/2006/relationships/hyperlink" Id="rId47" Target="diagrams/TSaS_Deployment.drawio" TargetMode="External" /><Relationship Type="http://schemas.openxmlformats.org/officeDocument/2006/relationships/hyperlink" Id="rId20" Target="diagrams/TSaS_Fachlicher_Kontext.drawio"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66" Target="diagrams/TSaS_Datenmodell.drawio" TargetMode="External" /><Relationship Type="http://schemas.openxmlformats.org/officeDocument/2006/relationships/hyperlink" Id="rId47" Target="diagrams/TSaS_Deployment.drawio" TargetMode="External" /><Relationship Type="http://schemas.openxmlformats.org/officeDocument/2006/relationships/hyperlink" Id="rId20" Target="diagrams/TSaS_Fachlicher_Kontext.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2026-06-17T19:44:28Z</dcterms:created>
  <dcterms:modified xsi:type="dcterms:W3CDTF">2026-06-17T19:44:28Z</dcterms:modified>
</cp:coreProperties>
</file>

<file path=docProps/custom.xml><?xml version="1.0" encoding="utf-8"?>
<Properties xmlns="http://schemas.openxmlformats.org/officeDocument/2006/custom-properties" xmlns:vt="http://schemas.openxmlformats.org/officeDocument/2006/docPropsVTypes"/>
</file>