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355B8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Default="00B1412A" w:rsidP="00AC38E9">
      <w:pPr>
        <w:spacing w:after="0" w:line="240" w:lineRule="auto"/>
        <w:ind w:left="2835" w:hanging="567"/>
        <w:jc w:val="both"/>
      </w:pPr>
      <w:r>
        <w:t>‘Q’</w:t>
      </w:r>
      <w:r w:rsidR="00594847">
        <w:tab/>
      </w:r>
      <w:r>
        <w:t>:</w:t>
      </w:r>
      <w:r>
        <w:tab/>
      </w:r>
      <w:r w:rsidR="00485928"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>
        <w:t>‘L’</w:t>
      </w:r>
      <w:r>
        <w:tab/>
        <w:t>:</w:t>
      </w:r>
      <w:r>
        <w:tab/>
      </w:r>
      <w:r w:rsidR="00485928">
        <w:t>Compañía Almacenera</w:t>
      </w:r>
    </w:p>
    <w:p w:rsidR="001D703F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‘w’</w:t>
      </w:r>
      <w:r>
        <w:tab/>
        <w:t>:</w:t>
      </w:r>
      <w: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‘F’</w:t>
      </w:r>
      <w:r>
        <w:tab/>
        <w:t>:</w:t>
      </w:r>
      <w:r>
        <w:tab/>
        <w:t>Físico</w:t>
      </w:r>
    </w:p>
    <w:p w:rsidR="00FA21D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>‘I’</w:t>
      </w:r>
      <w:r w:rsidR="00AC38E9">
        <w:tab/>
      </w:r>
      <w:r w:rsidR="000203BE">
        <w:t>:</w:t>
      </w:r>
      <w:r w:rsidR="000203BE">
        <w:tab/>
      </w:r>
      <w:r>
        <w:t xml:space="preserve">Inactivo – </w:t>
      </w:r>
      <w:r w:rsidR="000203BE">
        <w:t>P</w:t>
      </w:r>
      <w:r>
        <w:t xml:space="preserve">re-operación NO es Insumo-Producto   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P</w:t>
      </w:r>
      <w:r>
        <w:t xml:space="preserve">re-operación SI es Insumo-Producto </w:t>
      </w:r>
    </w:p>
    <w:p w:rsidR="00C81897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9E2390" w:rsidRPr="00520B8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9E2390" w:rsidRPr="00520B86">
        <w:tab/>
        <w:t xml:space="preserve">   : </w:t>
      </w:r>
      <w:r w:rsidR="009E2390" w:rsidRPr="00520B86">
        <w:tab/>
        <w:t>El formato de hora es HHMMSS, donde :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2390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9E2390" w:rsidRPr="00520B86">
        <w:tab/>
      </w:r>
      <w:r w:rsidR="009E2390">
        <w:t xml:space="preserve">  </w:t>
      </w:r>
      <w:r w:rsidR="009E2390" w:rsidRPr="00520B86">
        <w:t>:  Los valores pueden ser “WEBALMA”   o  “WEBCASA”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>
        <w:t>Si CRGMN = ‘S’ deber ser 0</w:t>
      </w:r>
    </w:p>
    <w:p w:rsidR="00670D19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lastRenderedPageBreak/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C82C51">
        <w:t xml:space="preserve">  son valores 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>L, NTRMCR</w:t>
      </w:r>
      <w:r w:rsidR="00C82C51">
        <w:t xml:space="preserve"> 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Pr="00355B8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CCMPN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Código de compañía – Alfanumérico (2)</w:t>
      </w:r>
    </w:p>
    <w:p w:rsidR="006A3FB0" w:rsidRPr="00355B8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CDVSN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Código de división – Alfanumérico (1)</w:t>
      </w:r>
    </w:p>
    <w:p w:rsidR="00BA5CA9" w:rsidRPr="00355B80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CPLNDV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192E15" w:rsidRPr="00355B80">
        <w:rPr>
          <w:highlight w:val="yellow"/>
        </w:rPr>
        <w:tab/>
      </w:r>
      <w:r w:rsidRPr="00355B80">
        <w:rPr>
          <w:highlight w:val="yellow"/>
        </w:rPr>
        <w:t>Código de planta – Numérico (3,0)</w:t>
      </w:r>
    </w:p>
    <w:p w:rsidR="00426A8E" w:rsidRPr="00355B80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NPROPR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Número de Pre-Operación  - Numérico (10, 0)</w:t>
      </w:r>
    </w:p>
    <w:p w:rsidR="00EA2014" w:rsidRPr="00355B80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NITEM</w:t>
      </w:r>
      <w:r w:rsidR="00CF5938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CF5938" w:rsidRPr="00355B80">
        <w:rPr>
          <w:highlight w:val="yellow"/>
        </w:rPr>
        <w:tab/>
      </w:r>
      <w:r w:rsidRPr="00355B80">
        <w:rPr>
          <w:highlight w:val="yellow"/>
        </w:rPr>
        <w:t>N</w:t>
      </w:r>
      <w:r w:rsidR="00CF5938" w:rsidRPr="00355B80">
        <w:rPr>
          <w:highlight w:val="yellow"/>
        </w:rPr>
        <w:t>ú</w:t>
      </w:r>
      <w:r w:rsidRPr="00355B80">
        <w:rPr>
          <w:highlight w:val="yellow"/>
        </w:rPr>
        <w:t xml:space="preserve">mero de </w:t>
      </w:r>
      <w:proofErr w:type="spellStart"/>
      <w:r w:rsidRPr="00355B80">
        <w:rPr>
          <w:highlight w:val="yellow"/>
        </w:rPr>
        <w:t>Item</w:t>
      </w:r>
      <w:proofErr w:type="spellEnd"/>
      <w:r w:rsidRPr="00355B80">
        <w:rPr>
          <w:highlight w:val="yellow"/>
        </w:rPr>
        <w:t xml:space="preserve"> – Numérico (5,0)</w:t>
      </w:r>
    </w:p>
    <w:p w:rsidR="00EF20B5" w:rsidRPr="00355B80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CRGMN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 xml:space="preserve">Código de régimen – Alfanumérico (1) </w:t>
      </w:r>
    </w:p>
    <w:p w:rsidR="00EA2014" w:rsidRPr="00355B80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CDPRDC</w:t>
      </w:r>
      <w:r w:rsidR="00CF5938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E7093B" w:rsidRPr="00355B80">
        <w:rPr>
          <w:highlight w:val="yellow"/>
        </w:rPr>
        <w:tab/>
      </w:r>
      <w:r w:rsidRPr="00355B80">
        <w:rPr>
          <w:highlight w:val="yellow"/>
        </w:rPr>
        <w:t>Código del Producto – Alfanumérico (10)</w:t>
      </w:r>
    </w:p>
    <w:p w:rsidR="00151641" w:rsidRPr="00355B80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SINSPR</w:t>
      </w:r>
      <w:r w:rsidR="00E7093B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E7093B" w:rsidRPr="00355B80">
        <w:rPr>
          <w:highlight w:val="yellow"/>
        </w:rPr>
        <w:tab/>
      </w:r>
      <w:proofErr w:type="spellStart"/>
      <w:r w:rsidRPr="00355B80">
        <w:rPr>
          <w:highlight w:val="yellow"/>
        </w:rPr>
        <w:t>Flag</w:t>
      </w:r>
      <w:proofErr w:type="spellEnd"/>
      <w:r w:rsidRPr="00355B80">
        <w:rPr>
          <w:highlight w:val="yellow"/>
        </w:rPr>
        <w:t xml:space="preserve"> Insumo / Producto – Alfanumérico (1)</w:t>
      </w:r>
    </w:p>
    <w:p w:rsidR="002C3735" w:rsidRPr="00355B80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SCNINP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 xml:space="preserve"> </w:t>
      </w:r>
      <w:proofErr w:type="spellStart"/>
      <w:r w:rsidRPr="00355B80">
        <w:rPr>
          <w:highlight w:val="yellow"/>
        </w:rPr>
        <w:t>Flag</w:t>
      </w:r>
      <w:proofErr w:type="spellEnd"/>
      <w:r w:rsidRPr="00355B80">
        <w:rPr>
          <w:highlight w:val="yellow"/>
        </w:rPr>
        <w:t xml:space="preserve"> control Insumo-Producto – Alfanumérico (1)</w:t>
      </w:r>
    </w:p>
    <w:p w:rsidR="00C63AF7" w:rsidRPr="00355B80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STPCNS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 xml:space="preserve"> </w:t>
      </w:r>
      <w:proofErr w:type="spellStart"/>
      <w:r w:rsidRPr="00355B80">
        <w:rPr>
          <w:highlight w:val="yellow"/>
        </w:rPr>
        <w:t>Flag</w:t>
      </w:r>
      <w:proofErr w:type="spellEnd"/>
      <w:r w:rsidRPr="00355B80">
        <w:rPr>
          <w:highlight w:val="yellow"/>
        </w:rPr>
        <w:t xml:space="preserve"> tipo de Control Serie -  Alfanumérico (1) </w:t>
      </w:r>
    </w:p>
    <w:p w:rsidR="00B1412A" w:rsidRPr="00355B80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CFMLPR</w:t>
      </w:r>
      <w:r w:rsidR="00E7093B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E7093B" w:rsidRPr="00355B80">
        <w:rPr>
          <w:highlight w:val="yellow"/>
        </w:rPr>
        <w:tab/>
      </w:r>
      <w:r w:rsidRPr="00355B80">
        <w:rPr>
          <w:highlight w:val="yellow"/>
        </w:rPr>
        <w:t xml:space="preserve">Código Familia del Producto – Alfanumérico (2) </w:t>
      </w:r>
    </w:p>
    <w:p w:rsidR="006359DD" w:rsidRPr="00355B80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FCHCRT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Fecha Creación – Numérico(8,0)</w:t>
      </w:r>
    </w:p>
    <w:p w:rsidR="006359DD" w:rsidRPr="00355B80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HRACRT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Hora Creación – Numérico (6,0)</w:t>
      </w:r>
    </w:p>
    <w:p w:rsidR="008A27F5" w:rsidRPr="00355B80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CUS</w:t>
      </w:r>
      <w:r w:rsidR="008A27F5" w:rsidRPr="00355B80">
        <w:rPr>
          <w:highlight w:val="yellow"/>
        </w:rPr>
        <w:t>CRT</w:t>
      </w:r>
      <w:r w:rsidR="00E7093B" w:rsidRPr="00355B80">
        <w:rPr>
          <w:highlight w:val="yellow"/>
        </w:rPr>
        <w:tab/>
      </w:r>
      <w:r w:rsidR="008A27F5" w:rsidRPr="00355B80">
        <w:rPr>
          <w:highlight w:val="yellow"/>
        </w:rPr>
        <w:t>:</w:t>
      </w:r>
      <w:r w:rsidR="00E7093B" w:rsidRPr="00355B80">
        <w:rPr>
          <w:highlight w:val="yellow"/>
        </w:rPr>
        <w:tab/>
      </w:r>
      <w:r w:rsidR="00920AFA" w:rsidRPr="00355B80">
        <w:rPr>
          <w:highlight w:val="yellow"/>
        </w:rPr>
        <w:t>Código usuario creador</w:t>
      </w:r>
      <w:r w:rsidR="008A27F5" w:rsidRPr="00355B80">
        <w:rPr>
          <w:highlight w:val="yellow"/>
        </w:rPr>
        <w:t xml:space="preserve"> – Alfanumérico (10)</w:t>
      </w:r>
    </w:p>
    <w:p w:rsidR="008A27F5" w:rsidRPr="00355B80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NTR</w:t>
      </w:r>
      <w:r w:rsidR="00D03241" w:rsidRPr="00355B80">
        <w:rPr>
          <w:highlight w:val="yellow"/>
        </w:rPr>
        <w:t>MCR</w:t>
      </w:r>
      <w:r w:rsidR="00E7093B" w:rsidRPr="00355B80">
        <w:rPr>
          <w:highlight w:val="yellow"/>
        </w:rPr>
        <w:tab/>
        <w:t>:</w:t>
      </w:r>
      <w:r w:rsidR="00E7093B" w:rsidRPr="00355B80">
        <w:rPr>
          <w:highlight w:val="yellow"/>
        </w:rPr>
        <w:tab/>
      </w:r>
      <w:r w:rsidRPr="00355B80">
        <w:rPr>
          <w:highlight w:val="yellow"/>
        </w:rPr>
        <w:t xml:space="preserve">Numero Terminal </w:t>
      </w:r>
      <w:r w:rsidR="00D03241" w:rsidRPr="00355B80">
        <w:rPr>
          <w:highlight w:val="yellow"/>
        </w:rPr>
        <w:t>Usado</w:t>
      </w:r>
      <w:r w:rsidRPr="00355B80">
        <w:rPr>
          <w:highlight w:val="yellow"/>
        </w:rPr>
        <w:t xml:space="preserve"> – Alfanumérico  (10)</w:t>
      </w:r>
    </w:p>
    <w:p w:rsidR="00DD4C05" w:rsidRPr="00355B80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355B80">
        <w:rPr>
          <w:highlight w:val="yellow"/>
        </w:rPr>
        <w:t>SESTRG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</w:r>
      <w:proofErr w:type="spellStart"/>
      <w:r w:rsidRPr="00355B80">
        <w:rPr>
          <w:highlight w:val="yellow"/>
        </w:rPr>
        <w:t>Flag</w:t>
      </w:r>
      <w:proofErr w:type="spellEnd"/>
      <w:r w:rsidRPr="00355B80">
        <w:rPr>
          <w:highlight w:val="yellow"/>
        </w:rP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inferior pueden venir con valor cero o vacío</w:t>
      </w:r>
    </w:p>
    <w:p w:rsidR="00BC15AF" w:rsidRPr="00355B80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NSRIE1</w:t>
      </w:r>
      <w:r w:rsidR="0016761F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16761F" w:rsidRPr="00355B80">
        <w:rPr>
          <w:highlight w:val="yellow"/>
        </w:rPr>
        <w:tab/>
      </w:r>
      <w:r w:rsidRPr="00355B80">
        <w:rPr>
          <w:highlight w:val="yellow"/>
        </w:rPr>
        <w:t>Número de serie – Numérico (6,0</w:t>
      </w:r>
      <w:proofErr w:type="gramStart"/>
      <w:r w:rsidRPr="00355B80">
        <w:rPr>
          <w:highlight w:val="yellow"/>
        </w:rPr>
        <w:t>) .</w:t>
      </w:r>
      <w:proofErr w:type="gramEnd"/>
      <w:r w:rsidRPr="00355B80">
        <w:rPr>
          <w:highlight w:val="yellow"/>
        </w:rPr>
        <w:t xml:space="preserve"> </w:t>
      </w:r>
    </w:p>
    <w:p w:rsidR="00BC15AF" w:rsidRPr="00355B80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NDCMSS</w:t>
      </w:r>
      <w:r w:rsidR="0016761F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16761F" w:rsidRPr="00355B80">
        <w:rPr>
          <w:highlight w:val="yellow"/>
        </w:rPr>
        <w:tab/>
      </w:r>
      <w:r w:rsidRPr="00355B80">
        <w:rPr>
          <w:highlight w:val="yellow"/>
        </w:rPr>
        <w:t xml:space="preserve">Número documento Sustento – Numérico (10,0). </w:t>
      </w:r>
    </w:p>
    <w:p w:rsidR="00BC15AF" w:rsidRPr="00355B80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 xml:space="preserve">IVUNIT 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 xml:space="preserve"> Importe unitario del ítem – Numérico </w:t>
      </w:r>
      <w:proofErr w:type="gramStart"/>
      <w:r w:rsidRPr="00355B80">
        <w:rPr>
          <w:highlight w:val="yellow"/>
        </w:rPr>
        <w:t>( 15</w:t>
      </w:r>
      <w:proofErr w:type="gramEnd"/>
      <w:r w:rsidRPr="00355B80">
        <w:rPr>
          <w:highlight w:val="yellow"/>
        </w:rPr>
        <w:t>, 5 )</w:t>
      </w:r>
      <w:r w:rsidR="00F61C4B" w:rsidRPr="00355B80">
        <w:rPr>
          <w:highlight w:val="yellow"/>
        </w:rPr>
        <w:t xml:space="preserve">. </w:t>
      </w:r>
    </w:p>
    <w:p w:rsidR="00BC15AF" w:rsidRPr="00355B80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 xml:space="preserve">IVTOIT 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 xml:space="preserve">Importe valor total del ítem – Numérico </w:t>
      </w:r>
      <w:proofErr w:type="gramStart"/>
      <w:r w:rsidRPr="00355B80">
        <w:rPr>
          <w:highlight w:val="yellow"/>
        </w:rPr>
        <w:t>( 15,5</w:t>
      </w:r>
      <w:proofErr w:type="gramEnd"/>
      <w:r w:rsidRPr="00355B80">
        <w:rPr>
          <w:highlight w:val="yellow"/>
        </w:rPr>
        <w:t xml:space="preserve"> )</w:t>
      </w:r>
      <w:r w:rsidR="00F61C4B" w:rsidRPr="00355B80">
        <w:rPr>
          <w:highlight w:val="yellow"/>
        </w:rPr>
        <w:t xml:space="preserve">. </w:t>
      </w:r>
    </w:p>
    <w:p w:rsidR="008E50DB" w:rsidRPr="00355B80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CANTIDAD :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>Cantidad solicitada – Numérico (15,5)</w:t>
      </w:r>
      <w:r w:rsidRPr="00355B80">
        <w:rPr>
          <w:b/>
          <w:highlight w:val="yellow"/>
        </w:rPr>
        <w:t xml:space="preserve"> </w:t>
      </w:r>
    </w:p>
    <w:p w:rsidR="00341F57" w:rsidRPr="00355B80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  <w:rPr>
          <w:highlight w:val="yellow"/>
        </w:rPr>
      </w:pPr>
      <w:r w:rsidRPr="00355B80">
        <w:rPr>
          <w:highlight w:val="yellow"/>
        </w:rPr>
        <w:t>UNIDAD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5B75BF" w:rsidRPr="00355B80">
        <w:rPr>
          <w:highlight w:val="yellow"/>
        </w:rPr>
        <w:tab/>
      </w:r>
      <w:r w:rsidRPr="00355B80">
        <w:rPr>
          <w:highlight w:val="yellow"/>
        </w:rP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Pr="00355B80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CCMPN</w:t>
      </w:r>
      <w:r w:rsidRPr="00355B80">
        <w:rPr>
          <w:highlight w:val="yellow"/>
        </w:rPr>
        <w:tab/>
      </w:r>
      <w:r w:rsidR="008A27F5" w:rsidRPr="00355B80">
        <w:rPr>
          <w:highlight w:val="yellow"/>
        </w:rPr>
        <w:t>:</w:t>
      </w:r>
      <w:r w:rsidRPr="00355B80">
        <w:rPr>
          <w:highlight w:val="yellow"/>
        </w:rPr>
        <w:tab/>
      </w:r>
      <w:r w:rsidR="008A27F5" w:rsidRPr="00355B80">
        <w:rPr>
          <w:highlight w:val="yellow"/>
        </w:rPr>
        <w:t>Los valores puede ser :</w:t>
      </w:r>
    </w:p>
    <w:p w:rsidR="008A27F5" w:rsidRPr="00355B80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355B80">
        <w:rPr>
          <w:highlight w:val="yellow"/>
        </w:rPr>
        <w:t>‘AM’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355B80">
        <w:rPr>
          <w:highlight w:val="yellow"/>
        </w:rPr>
        <w:t>‘LZ’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Compañía Almacenera</w:t>
      </w:r>
    </w:p>
    <w:p w:rsidR="008A27F5" w:rsidRPr="00355B80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CDVSN</w:t>
      </w:r>
      <w:r w:rsidR="002C3735" w:rsidRPr="00355B80">
        <w:rPr>
          <w:highlight w:val="yellow"/>
        </w:rPr>
        <w:tab/>
        <w:t>:</w:t>
      </w:r>
      <w:r w:rsidR="002C3735" w:rsidRPr="00355B80">
        <w:rPr>
          <w:highlight w:val="yellow"/>
        </w:rPr>
        <w:tab/>
      </w:r>
      <w:r w:rsidRPr="00355B80">
        <w:rPr>
          <w:highlight w:val="yellow"/>
        </w:rPr>
        <w:t>Los valores pueden ser :</w:t>
      </w:r>
    </w:p>
    <w:p w:rsidR="008A27F5" w:rsidRPr="00355B80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355B80">
        <w:rPr>
          <w:highlight w:val="yellow"/>
        </w:rPr>
        <w:t>‘Q’</w:t>
      </w:r>
      <w:r w:rsidR="006A3FB0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Pr="00355B80">
        <w:rPr>
          <w:highlight w:val="yellow"/>
        </w:rPr>
        <w:tab/>
      </w:r>
      <w:r w:rsidR="00CD6481" w:rsidRPr="00355B80">
        <w:rPr>
          <w:highlight w:val="yellow"/>
        </w:rPr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355B80">
        <w:rPr>
          <w:highlight w:val="yellow"/>
        </w:rPr>
        <w:t>‘L’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</w:r>
      <w:r w:rsidR="00CD6481" w:rsidRPr="00355B80">
        <w:rPr>
          <w:highlight w:val="yellow"/>
        </w:rPr>
        <w:t>Compañía Almacenera</w:t>
      </w:r>
    </w:p>
    <w:p w:rsidR="00501AC0" w:rsidRPr="00355B8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SCNINP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Los valores pueden ser :</w:t>
      </w:r>
    </w:p>
    <w:p w:rsidR="00501AC0" w:rsidRPr="00355B80" w:rsidRDefault="00501AC0" w:rsidP="00501AC0">
      <w:pPr>
        <w:spacing w:after="0" w:line="240" w:lineRule="auto"/>
        <w:ind w:left="2835" w:hanging="567"/>
        <w:jc w:val="both"/>
        <w:rPr>
          <w:highlight w:val="yellow"/>
        </w:rPr>
      </w:pPr>
      <w:r w:rsidRPr="00355B80">
        <w:rPr>
          <w:highlight w:val="yellow"/>
        </w:rPr>
        <w:t>‘I’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 w:rsidRPr="00355B80">
        <w:rPr>
          <w:highlight w:val="yellow"/>
        </w:rPr>
        <w:t xml:space="preserve">‘A’ 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Activo – Pre-operación SI es Insumo-Producto</w:t>
      </w:r>
    </w:p>
    <w:p w:rsidR="008A27F5" w:rsidRPr="00355B80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SINSPR</w:t>
      </w:r>
      <w:r w:rsidRPr="00355B80">
        <w:rPr>
          <w:highlight w:val="yellow"/>
        </w:rPr>
        <w:tab/>
      </w:r>
      <w:r w:rsidR="008A27F5" w:rsidRPr="00355B80">
        <w:rPr>
          <w:highlight w:val="yellow"/>
        </w:rPr>
        <w:t>:</w:t>
      </w:r>
      <w:r w:rsidRPr="00355B80">
        <w:rPr>
          <w:highlight w:val="yellow"/>
        </w:rPr>
        <w:tab/>
      </w:r>
      <w:r w:rsidR="008A27F5" w:rsidRPr="00355B80">
        <w:rPr>
          <w:highlight w:val="yellow"/>
        </w:rPr>
        <w:t>Los valores pueden ser :</w:t>
      </w:r>
    </w:p>
    <w:p w:rsidR="006A3FB0" w:rsidRPr="00355B80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355B80">
        <w:rPr>
          <w:highlight w:val="yellow"/>
        </w:rPr>
        <w:t xml:space="preserve">Si el SCNINP es ‘I’ entonces el SINSPR debe ser </w:t>
      </w:r>
      <w:proofErr w:type="gramStart"/>
      <w:r w:rsidRPr="00355B80">
        <w:rPr>
          <w:highlight w:val="yellow"/>
        </w:rPr>
        <w:t>‘P’ :</w:t>
      </w:r>
      <w:proofErr w:type="gramEnd"/>
      <w:r w:rsidRPr="00355B80">
        <w:rPr>
          <w:highlight w:val="yellow"/>
        </w:rPr>
        <w:t xml:space="preserve"> Producto</w:t>
      </w:r>
    </w:p>
    <w:p w:rsidR="006A3FB0" w:rsidRPr="00355B80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355B80">
        <w:rPr>
          <w:highlight w:val="yellow"/>
        </w:rPr>
        <w:t xml:space="preserve">Si el SCNINP es ‘A’ entonces el valor puede ser </w:t>
      </w:r>
    </w:p>
    <w:p w:rsidR="008A27F5" w:rsidRPr="00355B80" w:rsidRDefault="008A27F5" w:rsidP="008E2AA5">
      <w:pPr>
        <w:spacing w:after="0"/>
        <w:ind w:left="2694" w:hanging="426"/>
        <w:jc w:val="both"/>
        <w:rPr>
          <w:highlight w:val="yellow"/>
        </w:rPr>
      </w:pPr>
      <w:r w:rsidRPr="00355B80">
        <w:rPr>
          <w:highlight w:val="yellow"/>
        </w:rPr>
        <w:t>‘I’</w:t>
      </w:r>
      <w:r w:rsidR="006A3FB0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Pr="00355B80">
        <w:rPr>
          <w:highlight w:val="yellow"/>
        </w:rPr>
        <w:tab/>
      </w:r>
      <w:r w:rsidR="008E2AA5" w:rsidRPr="00355B80">
        <w:rPr>
          <w:highlight w:val="yellow"/>
        </w:rPr>
        <w:tab/>
      </w:r>
      <w:r w:rsidRPr="00355B80">
        <w:rPr>
          <w:highlight w:val="yellow"/>
        </w:rPr>
        <w:t>Insumo</w:t>
      </w:r>
    </w:p>
    <w:p w:rsidR="008A27F5" w:rsidRDefault="008A27F5" w:rsidP="008E2AA5">
      <w:pPr>
        <w:spacing w:after="0"/>
        <w:ind w:left="2694" w:hanging="426"/>
        <w:jc w:val="both"/>
      </w:pPr>
      <w:r w:rsidRPr="00355B80">
        <w:rPr>
          <w:highlight w:val="yellow"/>
        </w:rPr>
        <w:t>‘P’</w:t>
      </w:r>
      <w:r w:rsidR="006A3FB0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Pr="00355B80">
        <w:rPr>
          <w:highlight w:val="yellow"/>
        </w:rPr>
        <w:tab/>
      </w:r>
      <w:r w:rsidR="008E2AA5" w:rsidRPr="00355B80">
        <w:rPr>
          <w:highlight w:val="yellow"/>
        </w:rPr>
        <w:tab/>
      </w:r>
      <w:r w:rsidRPr="00355B80">
        <w:rPr>
          <w:highlight w:val="yellow"/>
        </w:rPr>
        <w:t>Producto</w:t>
      </w:r>
    </w:p>
    <w:p w:rsidR="006A3FB0" w:rsidRPr="00355B8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CFMLPR</w:t>
      </w:r>
      <w:r w:rsidR="00C63AF7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="00817188" w:rsidRPr="00355B80">
        <w:rPr>
          <w:highlight w:val="yellow"/>
        </w:rPr>
        <w:tab/>
      </w:r>
      <w:r w:rsidRPr="00355B80">
        <w:rPr>
          <w:highlight w:val="yellow"/>
        </w:rPr>
        <w:t>El valor Alfanumérico va desde el ‘00’ hasta el ‘99’</w:t>
      </w:r>
    </w:p>
    <w:p w:rsidR="00EF20B5" w:rsidRPr="00355B80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CRGMN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Los valores puede ser :</w:t>
      </w:r>
    </w:p>
    <w:p w:rsidR="00EF20B5" w:rsidRPr="00355B80" w:rsidRDefault="00EF20B5" w:rsidP="00EF20B5">
      <w:pPr>
        <w:spacing w:after="0" w:line="240" w:lineRule="auto"/>
        <w:ind w:firstLine="2268"/>
        <w:jc w:val="both"/>
        <w:rPr>
          <w:highlight w:val="yellow"/>
        </w:rPr>
      </w:pPr>
      <w:r w:rsidRPr="00355B80">
        <w:rPr>
          <w:highlight w:val="yellow"/>
        </w:rPr>
        <w:t>‘A’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 w:rsidRPr="00355B80">
        <w:rPr>
          <w:highlight w:val="yellow"/>
        </w:rPr>
        <w:t>‘S’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Simple</w:t>
      </w:r>
    </w:p>
    <w:p w:rsidR="006359DD" w:rsidRPr="00355B80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FCHCRT</w:t>
      </w:r>
      <w:r w:rsidR="00C63AF7" w:rsidRPr="00355B80">
        <w:rPr>
          <w:highlight w:val="yellow"/>
        </w:rPr>
        <w:tab/>
      </w:r>
      <w:r w:rsidRPr="00355B80">
        <w:rPr>
          <w:highlight w:val="yellow"/>
        </w:rPr>
        <w:t xml:space="preserve">: </w:t>
      </w:r>
      <w:r w:rsidRPr="00355B80">
        <w:rPr>
          <w:highlight w:val="yellow"/>
        </w:rPr>
        <w:tab/>
        <w:t>El formato de fecha es YYYYMMDD , donde :</w:t>
      </w:r>
    </w:p>
    <w:p w:rsidR="006359DD" w:rsidRPr="00355B80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355B80">
        <w:rPr>
          <w:highlight w:val="yellow"/>
        </w:rPr>
        <w:t xml:space="preserve">YYYY </w:t>
      </w:r>
      <w:r w:rsidR="00C63AF7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Pr="00355B80">
        <w:rPr>
          <w:highlight w:val="yellow"/>
        </w:rPr>
        <w:tab/>
        <w:t>Año del día</w:t>
      </w:r>
    </w:p>
    <w:p w:rsidR="006359DD" w:rsidRPr="00355B80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355B80">
        <w:rPr>
          <w:highlight w:val="yellow"/>
        </w:rPr>
        <w:t xml:space="preserve">MM 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Mes del día</w:t>
      </w:r>
    </w:p>
    <w:p w:rsidR="006359DD" w:rsidRPr="00355B80" w:rsidRDefault="006359DD" w:rsidP="00C63AF7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355B80">
        <w:rPr>
          <w:highlight w:val="yellow"/>
        </w:rPr>
        <w:t xml:space="preserve">DD 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Día</w:t>
      </w:r>
    </w:p>
    <w:p w:rsidR="006359DD" w:rsidRPr="00355B80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355B80">
        <w:rPr>
          <w:highlight w:val="yellow"/>
        </w:rPr>
        <w:t>HRACRT</w:t>
      </w:r>
      <w:r w:rsidR="00C63AF7" w:rsidRPr="00355B80">
        <w:rPr>
          <w:highlight w:val="yellow"/>
        </w:rPr>
        <w:tab/>
      </w:r>
      <w:r w:rsidRPr="00355B80">
        <w:rPr>
          <w:highlight w:val="yellow"/>
        </w:rPr>
        <w:t xml:space="preserve">: </w:t>
      </w:r>
      <w:r w:rsidRPr="00355B80">
        <w:rPr>
          <w:highlight w:val="yellow"/>
        </w:rPr>
        <w:tab/>
        <w:t>El formato de hora es HHMMSS, donde :</w:t>
      </w:r>
    </w:p>
    <w:p w:rsidR="006359DD" w:rsidRPr="00355B80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355B80">
        <w:rPr>
          <w:highlight w:val="yellow"/>
        </w:rPr>
        <w:t>HH</w:t>
      </w:r>
      <w:r w:rsidRPr="00355B80">
        <w:rPr>
          <w:highlight w:val="yellow"/>
        </w:rPr>
        <w:tab/>
        <w:t xml:space="preserve">: </w:t>
      </w:r>
      <w:r w:rsidRPr="00355B80">
        <w:rPr>
          <w:highlight w:val="yellow"/>
        </w:rPr>
        <w:tab/>
        <w:t xml:space="preserve">Hora del día desde 00 hasta 24 </w:t>
      </w:r>
    </w:p>
    <w:p w:rsidR="006359DD" w:rsidRPr="00355B80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355B80">
        <w:rPr>
          <w:highlight w:val="yellow"/>
        </w:rPr>
        <w:t>MM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Minuto del día desde 00 hasta 60</w:t>
      </w:r>
    </w:p>
    <w:p w:rsidR="006359DD" w:rsidRPr="00355B80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355B80">
        <w:rPr>
          <w:highlight w:val="yellow"/>
        </w:rPr>
        <w:t xml:space="preserve"> SS</w:t>
      </w:r>
      <w:r w:rsidRPr="00355B80">
        <w:rPr>
          <w:highlight w:val="yellow"/>
        </w:rPr>
        <w:tab/>
        <w:t>:</w:t>
      </w:r>
      <w:r w:rsidRPr="00355B80">
        <w:rPr>
          <w:highlight w:val="yellow"/>
        </w:rPr>
        <w:tab/>
        <w:t>Segundo del día desde 00 hasta 60.</w:t>
      </w:r>
    </w:p>
    <w:p w:rsidR="006359DD" w:rsidRPr="00355B80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355B80">
        <w:rPr>
          <w:highlight w:val="yellow"/>
        </w:rPr>
        <w:t>CUS</w:t>
      </w:r>
      <w:r w:rsidR="006359DD" w:rsidRPr="00355B80">
        <w:rPr>
          <w:highlight w:val="yellow"/>
        </w:rPr>
        <w:t xml:space="preserve">CRT </w:t>
      </w:r>
      <w:r w:rsidR="006359DD" w:rsidRPr="00355B80">
        <w:rPr>
          <w:highlight w:val="yellow"/>
        </w:rPr>
        <w:tab/>
        <w:t>:</w:t>
      </w:r>
      <w:r w:rsidRPr="00355B80">
        <w:rPr>
          <w:highlight w:val="yellow"/>
        </w:rPr>
        <w:tab/>
      </w:r>
      <w:r w:rsidR="006359DD" w:rsidRPr="00355B80">
        <w:rPr>
          <w:highlight w:val="yellow"/>
        </w:rPr>
        <w:t>Los valores pueden ser “WEBALMA”   o  “WEBCASA”</w:t>
      </w:r>
    </w:p>
    <w:p w:rsidR="00DD4C05" w:rsidRPr="00355B80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355B80">
        <w:rPr>
          <w:highlight w:val="yellow"/>
        </w:rPr>
        <w:t>SESTRG</w:t>
      </w:r>
      <w:r w:rsidR="00ED5D6A" w:rsidRPr="00355B80">
        <w:rPr>
          <w:highlight w:val="yellow"/>
        </w:rPr>
        <w:tab/>
      </w:r>
      <w:r w:rsidRPr="00355B80">
        <w:rPr>
          <w:highlight w:val="yellow"/>
        </w:rPr>
        <w:t>:</w:t>
      </w:r>
      <w:r w:rsidRPr="00355B80">
        <w:rPr>
          <w:highlight w:val="yellow"/>
        </w:rPr>
        <w:tab/>
        <w:t>‘ A’  ( Debe ser activo )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lastRenderedPageBreak/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 : Los valores pueden ser :</w:t>
      </w:r>
      <w:bookmarkStart w:id="469" w:name="_GoBack"/>
      <w:bookmarkEnd w:id="469"/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D10F89" w:rsidRDefault="00D10F89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4329AA" w:rsidRDefault="004329AA" w:rsidP="003579E7">
      <w:pPr>
        <w:pStyle w:val="Prrafodelista"/>
        <w:spacing w:after="0"/>
        <w:ind w:left="2280" w:hanging="437"/>
        <w:jc w:val="both"/>
      </w:pP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lastRenderedPageBreak/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61195627"/>
      <w:bookmarkStart w:id="471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lastRenderedPageBreak/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61195628"/>
      <w:bookmarkStart w:id="473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lastRenderedPageBreak/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500770803"/>
      <w:bookmarkStart w:id="47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 w:rsidRPr="00D31833">
        <w:t>FULTAC, HULTAC</w:t>
      </w:r>
      <w:r w:rsidR="00DD10DE"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>
        <w:t>NTRMNL son “WEBALMA” o “WEBCASA” dependiendo de la CCMPN</w:t>
      </w:r>
    </w:p>
    <w:p w:rsidR="00826195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lastRenderedPageBreak/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r w:rsidR="00D47864">
        <w:t xml:space="preserve">Numero de </w:t>
      </w:r>
      <w:proofErr w:type="spellStart"/>
      <w:r w:rsidR="00D47864">
        <w:t>Item</w:t>
      </w:r>
      <w:proofErr w:type="spellEnd"/>
      <w:r w:rsidR="00D47864">
        <w:t xml:space="preserve"> – Numérico (5,0)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 xml:space="preserve">los siguientes </w:t>
      </w:r>
      <w:r w:rsidR="00D2217E" w:rsidRPr="00457218">
        <w:lastRenderedPageBreak/>
        <w:t>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lastRenderedPageBreak/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lastRenderedPageBreak/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lastRenderedPageBreak/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0"/>
      <w:bookmarkEnd w:id="4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>CCMPN : Los valores puede ser :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lastRenderedPageBreak/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</w:t>
      </w:r>
      <w:r w:rsidR="009F53E6">
        <w:lastRenderedPageBreak/>
        <w:t>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>
        <w:t xml:space="preserve"> en la nueva </w:t>
      </w:r>
      <w:proofErr w:type="spellStart"/>
      <w:r>
        <w:t>Wbe</w:t>
      </w:r>
      <w:proofErr w:type="spellEnd"/>
      <w:r>
        <w:t xml:space="preserve"> 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>la información en :</w:t>
      </w:r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</w:t>
      </w:r>
      <w:r w:rsidR="00682AD5">
        <w:lastRenderedPageBreak/>
        <w:t>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>actualizar SESTRG = ‘A’ ,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F84592" w:rsidRDefault="00D23B98" w:rsidP="005C7619">
      <w:pPr>
        <w:spacing w:after="0"/>
        <w:ind w:left="2127"/>
        <w:jc w:val="both"/>
      </w:pPr>
      <w:r>
        <w:t>Se deberá retornar los campos arriba mencionados y adicionalmente el campo NPROPR</w:t>
      </w: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lastRenderedPageBreak/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lastRenderedPageBreak/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lastRenderedPageBreak/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lastRenderedPageBreak/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lastRenderedPageBreak/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lastRenderedPageBreak/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338" w:rsidRDefault="00663338" w:rsidP="00BE56A8">
      <w:pPr>
        <w:spacing w:after="0" w:line="240" w:lineRule="auto"/>
      </w:pPr>
      <w:r>
        <w:separator/>
      </w:r>
    </w:p>
  </w:endnote>
  <w:endnote w:type="continuationSeparator" w:id="0">
    <w:p w:rsidR="00663338" w:rsidRDefault="00663338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355B80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355B80" w:rsidRPr="000C3CB9" w:rsidRDefault="00355B80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355B80" w:rsidRPr="000C3CB9" w:rsidRDefault="00355B80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93265D">
            <w:rPr>
              <w:rStyle w:val="Nmerodepgina"/>
              <w:rFonts w:cs="Calibri"/>
              <w:noProof/>
              <w:sz w:val="20"/>
              <w:szCs w:val="20"/>
            </w:rPr>
            <w:t>13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93265D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355B80" w:rsidRDefault="00355B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355B80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355B80" w:rsidRPr="000C3CB9" w:rsidRDefault="00355B80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355B80" w:rsidRPr="000C3CB9" w:rsidRDefault="00355B80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355B80" w:rsidRDefault="00355B80" w:rsidP="00985477">
    <w:pPr>
      <w:pStyle w:val="Piedepgina"/>
    </w:pPr>
  </w:p>
  <w:p w:rsidR="00355B80" w:rsidRDefault="00355B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338" w:rsidRDefault="00663338" w:rsidP="00BE56A8">
      <w:pPr>
        <w:spacing w:after="0" w:line="240" w:lineRule="auto"/>
      </w:pPr>
      <w:r>
        <w:separator/>
      </w:r>
    </w:p>
  </w:footnote>
  <w:footnote w:type="continuationSeparator" w:id="0">
    <w:p w:rsidR="00663338" w:rsidRDefault="00663338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355B80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355B80" w:rsidRPr="00FD3BB9" w:rsidRDefault="00355B80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355B80" w:rsidRPr="000C3CB9" w:rsidRDefault="00355B80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355B80" w:rsidRPr="000C3CB9" w:rsidRDefault="00355B80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55B80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</w:tr>
    <w:tr w:rsidR="00355B80" w:rsidRPr="000C3CB9" w:rsidTr="00985477">
      <w:trPr>
        <w:trHeight w:hRule="exact" w:val="90"/>
        <w:jc w:val="center"/>
      </w:trPr>
      <w:tc>
        <w:tcPr>
          <w:tcW w:w="7022" w:type="dxa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</w:tr>
  </w:tbl>
  <w:p w:rsidR="00355B80" w:rsidRPr="00BE56A8" w:rsidRDefault="00355B80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355B80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355B80" w:rsidRPr="000C3CB9" w:rsidRDefault="00355B80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355B80" w:rsidRPr="000C3CB9" w:rsidRDefault="00355B80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55B80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</w:tr>
    <w:tr w:rsidR="00355B80" w:rsidRPr="000C3CB9" w:rsidTr="00985477">
      <w:trPr>
        <w:trHeight w:hRule="exact" w:val="90"/>
        <w:jc w:val="center"/>
      </w:trPr>
      <w:tc>
        <w:tcPr>
          <w:tcW w:w="7164" w:type="dxa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355B80" w:rsidRPr="000C3CB9" w:rsidRDefault="00355B80" w:rsidP="00985477">
          <w:pPr>
            <w:rPr>
              <w:rFonts w:cs="Times New Roman"/>
              <w:lang w:val="es-ES_tradnl"/>
            </w:rPr>
          </w:pPr>
        </w:p>
      </w:tc>
    </w:tr>
  </w:tbl>
  <w:p w:rsidR="00355B80" w:rsidRDefault="00355B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5B8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338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265D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256776-DFC9-47AD-8F6A-2983E6BF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57</Pages>
  <Words>13978</Words>
  <Characters>76884</Characters>
  <Application>Microsoft Office Word</Application>
  <DocSecurity>0</DocSecurity>
  <Lines>640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16</cp:revision>
  <cp:lastPrinted>2016-08-31T16:59:00Z</cp:lastPrinted>
  <dcterms:created xsi:type="dcterms:W3CDTF">2017-12-06T16:52:00Z</dcterms:created>
  <dcterms:modified xsi:type="dcterms:W3CDTF">2017-12-13T21:36:00Z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