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 Foundations of Global Migration</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Competing Frameworks: A Critical Synthesis of Migration Theory</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structured literature review that critically evaluates the major theoretical frameworks of migration and tests them against one contemporary migration flow of your choice.</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Critically evaluate migration frameworks (Grad 1)</w:t>
      </w:r>
    </w:p>
    <w:p>
      <w:pPr>
        <w:pStyle w:val="ListParagraph"/>
        <w:numPr>
          <w:ilvl w:val="0"/>
          <w:numId w:val="2"/>
        </w:numPr>
        <w:spacing w:after="90" w:line="276"/>
      </w:pPr>
      <w:r>
        <w:rPr>
          <w:rFonts w:ascii="Arial" w:cs="Arial" w:eastAsia="Arial" w:hAnsi="Arial"/>
          <w:color w:val="33332E"/>
          <w:sz w:val="21"/>
          <w:szCs w:val="21"/>
        </w:rPr>
        <w:t xml:space="preserve">Synthesize competing definitions across disciplines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Which framework best explains a chosen contemporary flow (e.g., Venezuela–Colombia, West Africa–Canary Islands), and where does it fail?</w:t>
      </w:r>
    </w:p>
    <w:p>
      <w:pPr>
        <w:pStyle w:val="ListParagraph"/>
        <w:numPr>
          <w:ilvl w:val="0"/>
          <w:numId w:val="2"/>
        </w:numPr>
        <w:spacing w:after="90" w:line="276"/>
      </w:pPr>
      <w:r>
        <w:rPr>
          <w:rFonts w:ascii="Arial" w:cs="Arial" w:eastAsia="Arial" w:hAnsi="Arial"/>
          <w:color w:val="33332E"/>
          <w:sz w:val="21"/>
          <w:szCs w:val="21"/>
        </w:rPr>
        <w:t xml:space="preserve">How do definitional choices (migrant vs. refugee vs. IDP) change what each theory can see?</w:t>
      </w:r>
    </w:p>
    <w:p>
      <w:pPr>
        <w:pStyle w:val="ListParagraph"/>
        <w:numPr>
          <w:ilvl w:val="0"/>
          <w:numId w:val="2"/>
        </w:numPr>
        <w:spacing w:after="90" w:line="276"/>
      </w:pPr>
      <w:r>
        <w:rPr>
          <w:rFonts w:ascii="Arial" w:cs="Arial" w:eastAsia="Arial" w:hAnsi="Arial"/>
          <w:color w:val="33332E"/>
          <w:sz w:val="21"/>
          <w:szCs w:val="21"/>
        </w:rPr>
        <w:t xml:space="preserve">What does Carling's aspiration/ability model add that classic push–pull cannot capture?</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Systematic reading of 10–12 peer-reviewed sources (start from the module reading list: Massey et al. 1993; de Haas 2010; Carling 2002, 2024), followed by a single-case application using published data (UN DESA, IOM, UNHCR). No human subjects.</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 secondary literature and published data only.</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4,000–5,000-word critical review with a one-page visual 'theory map'</w:t>
      </w:r>
    </w:p>
    <w:p>
      <w:pPr>
        <w:pStyle w:val="ListParagraph"/>
        <w:numPr>
          <w:ilvl w:val="0"/>
          <w:numId w:val="2"/>
        </w:numPr>
        <w:spacing w:after="90" w:line="276"/>
      </w:pPr>
      <w:r>
        <w:rPr>
          <w:rFonts w:ascii="Arial" w:cs="Arial" w:eastAsia="Arial" w:hAnsi="Arial"/>
          <w:color w:val="33332E"/>
          <w:sz w:val="21"/>
          <w:szCs w:val="21"/>
        </w:rPr>
        <w:t xml:space="preserve">15-minute seminar presentation defending your framework assessment</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Accuracy and coverage of the theoretical landscape</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accuracy and coverage of the theoretical landscape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accuracy and coverage of the theoretical landscape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accuracy and coverage of the theoretical landscape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accuracy and coverage of the theoretical landscape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critical evaluation, not just summary</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quality of critical evaluation, not just summary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quality of critical evaluation, not just summary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quality of critical evaluation, not just summary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quality of critical evaluation, not just summary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case application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rigor of the case application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rigor of the case application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rigor of the case application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rigor of the case application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Writing, citation, and presentation</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writing, citation, and presentation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writing, citation, and presentation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writing, citation, and presentation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writing, citation, and presentation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2026-07-21T19:52:49.209Z</dcterms:created>
  <dcterms:modified xsi:type="dcterms:W3CDTF">2026-07-21T19:52:49.209Z</dcterms:modified>
</cp:coreProperties>
</file>

<file path=docProps/custom.xml><?xml version="1.0" encoding="utf-8"?>
<Properties xmlns="http://schemas.openxmlformats.org/officeDocument/2006/custom-properties" xmlns:vt="http://schemas.openxmlformats.org/officeDocument/2006/docPropsVTypes"/>
</file>