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 Foundations of Global Migration</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Community Story Booth: Listening Across Migration Narratives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Partner with a local refugee resettlement agency or immigrant community center to co-host a community story-sharing event, then examine how the narratives you heard confirm or challenge common migration myths.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Define key migration terms in real-world context (UG 1)</w:t>
      </w:r>
    </w:p>
    <w:p>
      <w:pPr>
        <w:pStyle w:val="ListParagraph"/>
        <w:numPr>
          <w:ilvl w:val="0"/>
          <w:numId w:val="2"/>
        </w:numPr>
        <w:spacing w:after="90" w:line="276"/>
      </w:pPr>
      <w:r>
        <w:rPr>
          <w:rFonts w:ascii="Arial" w:cs="Arial" w:eastAsia="Arial" w:hAnsi="Arial"/>
          <w:color w:val="33332E"/>
          <w:sz w:val="21"/>
          <w:szCs w:val="21"/>
        </w:rPr>
        <w:t xml:space="preserve">Distinguish migration types encountered in community narratives (UG 2)</w:t>
      </w:r>
    </w:p>
    <w:p>
      <w:pPr>
        <w:pStyle w:val="ListParagraph"/>
        <w:numPr>
          <w:ilvl w:val="0"/>
          <w:numId w:val="2"/>
        </w:numPr>
        <w:spacing w:after="90" w:line="276"/>
      </w:pPr>
      <w:r>
        <w:rPr>
          <w:rFonts w:ascii="Arial" w:cs="Arial" w:eastAsia="Arial" w:hAnsi="Arial"/>
          <w:color w:val="33332E"/>
          <w:sz w:val="21"/>
          <w:szCs w:val="21"/>
        </w:rPr>
        <w:t xml:space="preserve">Reflect on personal assumptions about migration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Refugee resettlement agencies (e.g., Catholic Charities, IRC, HIAS affiliates)</w:t>
      </w:r>
    </w:p>
    <w:p>
      <w:pPr>
        <w:pStyle w:val="ListParagraph"/>
        <w:numPr>
          <w:ilvl w:val="0"/>
          <w:numId w:val="2"/>
        </w:numPr>
        <w:spacing w:after="90" w:line="276"/>
      </w:pPr>
      <w:r>
        <w:rPr>
          <w:rFonts w:ascii="Arial" w:cs="Arial" w:eastAsia="Arial" w:hAnsi="Arial"/>
          <w:color w:val="33332E"/>
          <w:sz w:val="21"/>
          <w:szCs w:val="21"/>
        </w:rPr>
        <w:t xml:space="preserve">Immigrant community or cultural centers</w:t>
      </w:r>
    </w:p>
    <w:p>
      <w:pPr>
        <w:pStyle w:val="ListParagraph"/>
        <w:numPr>
          <w:ilvl w:val="0"/>
          <w:numId w:val="2"/>
        </w:numPr>
        <w:spacing w:after="90" w:line="276"/>
      </w:pPr>
      <w:r>
        <w:rPr>
          <w:rFonts w:ascii="Arial" w:cs="Arial" w:eastAsia="Arial" w:hAnsi="Arial"/>
          <w:color w:val="33332E"/>
          <w:sz w:val="21"/>
          <w:szCs w:val="21"/>
        </w:rPr>
        <w:t xml:space="preserve">Campus international student services or ESL conversation programs</w:t>
      </w:r>
    </w:p>
    <w:p>
      <w:pPr>
        <w:pStyle w:val="ListParagraph"/>
        <w:numPr>
          <w:ilvl w:val="0"/>
          <w:numId w:val="2"/>
        </w:numPr>
        <w:spacing w:after="90" w:line="276"/>
      </w:pPr>
      <w:r>
        <w:rPr>
          <w:rFonts w:ascii="Arial" w:cs="Arial" w:eastAsia="Arial" w:hAnsi="Arial"/>
          <w:color w:val="33332E"/>
          <w:sz w:val="21"/>
          <w:szCs w:val="21"/>
        </w:rPr>
        <w:t xml:space="preserve">Public libraries with newcomer programming</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the partner's volunteer orientation and the course's ethical-engagement briefing (consent, confidentiality, no pressure to share).</w:t>
      </w:r>
    </w:p>
    <w:p>
      <w:pPr>
        <w:pStyle w:val="ListParagraph"/>
        <w:numPr>
          <w:ilvl w:val="0"/>
          <w:numId w:val="3"/>
        </w:numPr>
        <w:spacing w:after="90" w:line="276"/>
      </w:pPr>
      <w:r>
        <w:rPr>
          <w:rFonts w:ascii="Arial" w:cs="Arial" w:eastAsia="Arial" w:hAnsi="Arial"/>
          <w:color w:val="33332E"/>
          <w:sz w:val="21"/>
          <w:szCs w:val="21"/>
        </w:rPr>
        <w:t xml:space="preserve">Before the event, write a 1-page pre-reflection documenting your current assumptions about who migrates and why.</w:t>
      </w:r>
    </w:p>
    <w:p>
      <w:pPr>
        <w:pStyle w:val="ListParagraph"/>
        <w:numPr>
          <w:ilvl w:val="0"/>
          <w:numId w:val="3"/>
        </w:numPr>
        <w:spacing w:after="90" w:line="276"/>
      </w:pPr>
      <w:r>
        <w:rPr>
          <w:rFonts w:ascii="Arial" w:cs="Arial" w:eastAsia="Arial" w:hAnsi="Arial"/>
          <w:color w:val="33332E"/>
          <w:sz w:val="21"/>
          <w:szCs w:val="21"/>
        </w:rPr>
        <w:t xml:space="preserve">Help the partner plan and host a story-sharing or conversation-circle event (or join an existing program for 3–4 sessions).</w:t>
      </w:r>
    </w:p>
    <w:p>
      <w:pPr>
        <w:pStyle w:val="ListParagraph"/>
        <w:numPr>
          <w:ilvl w:val="0"/>
          <w:numId w:val="3"/>
        </w:numPr>
        <w:spacing w:after="90" w:line="276"/>
      </w:pPr>
      <w:r>
        <w:rPr>
          <w:rFonts w:ascii="Arial" w:cs="Arial" w:eastAsia="Arial" w:hAnsi="Arial"/>
          <w:color w:val="33332E"/>
          <w:sz w:val="21"/>
          <w:szCs w:val="21"/>
        </w:rPr>
        <w:t xml:space="preserve">Keep a listening journal: record themes, terminology used by community members, and moments that surprised you (no identifying details).</w:t>
      </w:r>
    </w:p>
    <w:p>
      <w:pPr>
        <w:pStyle w:val="ListParagraph"/>
        <w:numPr>
          <w:ilvl w:val="0"/>
          <w:numId w:val="3"/>
        </w:numPr>
        <w:spacing w:after="90" w:line="276"/>
      </w:pPr>
      <w:r>
        <w:rPr>
          <w:rFonts w:ascii="Arial" w:cs="Arial" w:eastAsia="Arial" w:hAnsi="Arial"/>
          <w:color w:val="33332E"/>
          <w:sz w:val="21"/>
          <w:szCs w:val="21"/>
        </w:rPr>
        <w:t xml:space="preserve">Write a post-reflection comparing your pre-reflection with what you heard, using correct course terminology (migrant, refugee, asylum seeker, IDP).</w:t>
      </w:r>
    </w:p>
    <w:p>
      <w:pPr>
        <w:pStyle w:val="ListParagraph"/>
        <w:numPr>
          <w:ilvl w:val="0"/>
          <w:numId w:val="3"/>
        </w:numPr>
        <w:spacing w:after="90" w:line="276"/>
      </w:pPr>
      <w:r>
        <w:rPr>
          <w:rFonts w:ascii="Arial" w:cs="Arial" w:eastAsia="Arial" w:hAnsi="Arial"/>
          <w:color w:val="33332E"/>
          <w:sz w:val="21"/>
          <w:szCs w:val="21"/>
        </w:rPr>
        <w:t xml:space="preserve">Debrief with the partner and share a thank-you summary of what students learned.</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Pre- and post-reflection essays (2–3 pages total)</w:t>
      </w:r>
    </w:p>
    <w:p>
      <w:pPr>
        <w:pStyle w:val="ListParagraph"/>
        <w:numPr>
          <w:ilvl w:val="0"/>
          <w:numId w:val="2"/>
        </w:numPr>
        <w:spacing w:after="90" w:line="276"/>
      </w:pPr>
      <w:r>
        <w:rPr>
          <w:rFonts w:ascii="Arial" w:cs="Arial" w:eastAsia="Arial" w:hAnsi="Arial"/>
          <w:color w:val="33332E"/>
          <w:sz w:val="21"/>
          <w:szCs w:val="21"/>
        </w:rPr>
        <w:t xml:space="preserve">Listening journal (de-identified)</w:t>
      </w:r>
    </w:p>
    <w:p>
      <w:pPr>
        <w:pStyle w:val="ListParagraph"/>
        <w:numPr>
          <w:ilvl w:val="0"/>
          <w:numId w:val="2"/>
        </w:numPr>
        <w:spacing w:after="90" w:line="276"/>
      </w:pPr>
      <w:r>
        <w:rPr>
          <w:rFonts w:ascii="Arial" w:cs="Arial" w:eastAsia="Arial" w:hAnsi="Arial"/>
          <w:color w:val="33332E"/>
          <w:sz w:val="21"/>
          <w:szCs w:val="21"/>
        </w:rPr>
        <w:t xml:space="preserve">One-page 'myths vs. realities' insight sheet suitable for the partner to reuse</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12–15 hours across the module (orientation, event/sessions, reflection).</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Community members are never asked to recount trauma. Stories are shared voluntarily; nothing identifying leaves the room without written consent.</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Preparation and professionalism with the partner</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preparation and professionalism with the partner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preparation and professionalism with the partner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preparation and professionalism with the partner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preparation and professionalism with the partner is not met; commitments were unmet or the partner's experience was negative.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Correct, careful use of migration terminology</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correct, careful use of migration terminology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correct, careful use of migration terminology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correct, careful use of migration terminology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correct, careful use of migration terminology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Depth of reflection on assumptions and narratives</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depth of reflection on assumptions and narratives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depth of reflection on assumptions and narratives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depth of reflection on assumptions and narratives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depth of reflection on assumptions and narratives shows no genuine self-examination or contradicts the evidence presented.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and usefulness of the insight sheet</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quality and usefulness of the insight sheet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quality and usefulness of the insight sheet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quality and usefulness of the insight sheet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quality and usefulness of the insight sheet is not met; the product is unusable, inaccurate, or missing major required elements.</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2026-07-21T19:52:49.192Z</dcterms:created>
  <dcterms:modified xsi:type="dcterms:W3CDTF">2026-07-21T19:52:49.193Z</dcterms:modified>
</cp:coreProperties>
</file>

<file path=docProps/custom.xml><?xml version="1.0" encoding="utf-8"?>
<Properties xmlns="http://schemas.openxmlformats.org/officeDocument/2006/custom-properties" xmlns:vt="http://schemas.openxmlformats.org/officeDocument/2006/docPropsVTypes"/>
</file>