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2: Migration Data and Global Trends</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Auditing the Numbers: A Critical Evaluation of a Global Migration Dataset</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Select one major migration dataset (UN DESA international migrant stock, IOM Missing Migrants, UNHCR refugee statistics, or World Bank remittances) and audit it: how the data are produced, what they systematically miss, and how they are used politically.</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Critique data reliability and bias (Grad 1)</w:t>
      </w:r>
    </w:p>
    <w:p>
      <w:pPr>
        <w:pStyle w:val="ListParagraph"/>
        <w:numPr>
          <w:ilvl w:val="0"/>
          <w:numId w:val="2"/>
        </w:numPr>
        <w:spacing w:after="90" w:line="276"/>
      </w:pPr>
      <w:r>
        <w:rPr>
          <w:rFonts w:ascii="Arial" w:cs="Arial" w:eastAsia="Arial" w:hAnsi="Arial"/>
          <w:color w:val="33332E"/>
          <w:sz w:val="21"/>
          <w:szCs w:val="21"/>
        </w:rPr>
        <w:t xml:space="preserve">Propose improved data approaches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What definitional and collection choices shape the dataset, and which populations do they render invisible?</w:t>
      </w:r>
    </w:p>
    <w:p>
      <w:pPr>
        <w:pStyle w:val="ListParagraph"/>
        <w:numPr>
          <w:ilvl w:val="0"/>
          <w:numId w:val="2"/>
        </w:numPr>
        <w:spacing w:after="90" w:line="276"/>
      </w:pPr>
      <w:r>
        <w:rPr>
          <w:rFonts w:ascii="Arial" w:cs="Arial" w:eastAsia="Arial" w:hAnsi="Arial"/>
          <w:color w:val="33332E"/>
          <w:sz w:val="21"/>
          <w:szCs w:val="21"/>
        </w:rPr>
        <w:t xml:space="preserve">How has this dataset been used (or misused) in policy or media debates?</w:t>
      </w:r>
    </w:p>
    <w:p>
      <w:pPr>
        <w:pStyle w:val="ListParagraph"/>
        <w:numPr>
          <w:ilvl w:val="0"/>
          <w:numId w:val="2"/>
        </w:numPr>
        <w:spacing w:after="90" w:line="276"/>
      </w:pPr>
      <w:r>
        <w:rPr>
          <w:rFonts w:ascii="Arial" w:cs="Arial" w:eastAsia="Arial" w:hAnsi="Arial"/>
          <w:color w:val="33332E"/>
          <w:sz w:val="21"/>
          <w:szCs w:val="21"/>
        </w:rPr>
        <w:t xml:space="preserve">What concrete, feasible changes would most improve its coverage of children, undocumented people, or people with disabilities?</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Documentary analysis of the dataset's methodology papers plus a reproducible descriptive analysis (spreadsheet or notebook) demonstrating at least one blind spot empirically — e.g., comparing two sources that should agree but do not.</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 published aggregate data only.</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3,500–4,500-word data audit with the reproducible analysis appended</w:t>
      </w:r>
    </w:p>
    <w:p>
      <w:pPr>
        <w:pStyle w:val="ListParagraph"/>
        <w:numPr>
          <w:ilvl w:val="0"/>
          <w:numId w:val="2"/>
        </w:numPr>
        <w:spacing w:after="90" w:line="276"/>
      </w:pPr>
      <w:r>
        <w:rPr>
          <w:rFonts w:ascii="Arial" w:cs="Arial" w:eastAsia="Arial" w:hAnsi="Arial"/>
          <w:color w:val="33332E"/>
          <w:sz w:val="21"/>
          <w:szCs w:val="21"/>
        </w:rPr>
        <w:t xml:space="preserve">One-page 'improved data approach' proposal written for a policy audience</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Technical understanding of how the data are produced</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technical understanding of how the data are produced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technical understanding of how the data are produced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technical understanding of how the data are produced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technical understanding of how the data are produced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empirical demonstration</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the empirical demonstration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the empirical demonstration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the empirical demonstration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the empirical demonstration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Insight of the bias/politics critique</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insight of the bias/politics critique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insight of the bias/politics critique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insight of the bias/politics critique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insight of the bias/politics critique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Feasibility and specificity of the improvement proposal</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excellent: feasibility and specificity of the improvement proposal is fully addressed — costs, constraints, politics, and failure modes are named honestly and the proposal remains workable anyway.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good: feasibility and specificity of the improvement proposal is addressed for the major factors, with minor blind spots that would not sink the proposal.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limited: feasibility and specificity of the improvement proposal is addressed superficially — key constraints or failure modes are ignored, making the proposal fragile.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missing: feasibility and specificity of the improvement proposal is not addressed; the proposal ignores obvious constraints and would not survive contact with reality.</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2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2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2026-07-21T19:52:49.241Z</dcterms:created>
  <dcterms:modified xsi:type="dcterms:W3CDTF">2026-07-21T19:52:49.241Z</dcterms:modified>
</cp:coreProperties>
</file>

<file path=docProps/custom.xml><?xml version="1.0" encoding="utf-8"?>
<Properties xmlns="http://schemas.openxmlformats.org/officeDocument/2006/custom-properties" xmlns:vt="http://schemas.openxmlformats.org/officeDocument/2006/docPropsVTypes"/>
</file>