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2: Migration Data and Global Trends</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Local Migration Data Profile for a Community Partner</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Build a plain-language migration data profile of your city or county for an organization that serves newcomers — and document who is missing from the official numbers.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Interpret migration datasets (UG 1)</w:t>
      </w:r>
    </w:p>
    <w:p>
      <w:pPr>
        <w:pStyle w:val="ListParagraph"/>
        <w:numPr>
          <w:ilvl w:val="0"/>
          <w:numId w:val="2"/>
        </w:numPr>
        <w:spacing w:after="90" w:line="276"/>
      </w:pPr>
      <w:r>
        <w:rPr>
          <w:rFonts w:ascii="Arial" w:cs="Arial" w:eastAsia="Arial" w:hAnsi="Arial"/>
          <w:color w:val="33332E"/>
          <w:sz w:val="21"/>
          <w:szCs w:val="21"/>
        </w:rPr>
        <w:t xml:space="preserve">Identify trends relevant to the local community (UG 2)</w:t>
      </w:r>
    </w:p>
    <w:p>
      <w:pPr>
        <w:pStyle w:val="ListParagraph"/>
        <w:numPr>
          <w:ilvl w:val="0"/>
          <w:numId w:val="2"/>
        </w:numPr>
        <w:spacing w:after="90" w:line="276"/>
      </w:pPr>
      <w:r>
        <w:rPr>
          <w:rFonts w:ascii="Arial" w:cs="Arial" w:eastAsia="Arial" w:hAnsi="Arial"/>
          <w:color w:val="33332E"/>
          <w:sz w:val="21"/>
          <w:szCs w:val="21"/>
        </w:rPr>
        <w:t xml:space="preserve">Recognize missing populations (UG 3)</w:t>
      </w:r>
    </w:p>
    <w:p>
      <w:pPr>
        <w:pStyle w:val="ListParagraph"/>
        <w:numPr>
          <w:ilvl w:val="0"/>
          <w:numId w:val="2"/>
        </w:numPr>
        <w:spacing w:after="90" w:line="276"/>
      </w:pPr>
      <w:r>
        <w:rPr>
          <w:rFonts w:ascii="Arial" w:cs="Arial" w:eastAsia="Arial" w:hAnsi="Arial"/>
          <w:color w:val="33332E"/>
          <w:sz w:val="21"/>
          <w:szCs w:val="21"/>
        </w:rPr>
        <w:t xml:space="preserve">Explain data limitations to a non-technical audience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Refugee resettlement agencies needing service-planning data</w:t>
      </w:r>
    </w:p>
    <w:p>
      <w:pPr>
        <w:pStyle w:val="ListParagraph"/>
        <w:numPr>
          <w:ilvl w:val="0"/>
          <w:numId w:val="2"/>
        </w:numPr>
        <w:spacing w:after="90" w:line="276"/>
      </w:pPr>
      <w:r>
        <w:rPr>
          <w:rFonts w:ascii="Arial" w:cs="Arial" w:eastAsia="Arial" w:hAnsi="Arial"/>
          <w:color w:val="33332E"/>
          <w:sz w:val="21"/>
          <w:szCs w:val="21"/>
        </w:rPr>
        <w:t xml:space="preserve">School district ESL/newcomer program offices</w:t>
      </w:r>
    </w:p>
    <w:p>
      <w:pPr>
        <w:pStyle w:val="ListParagraph"/>
        <w:numPr>
          <w:ilvl w:val="0"/>
          <w:numId w:val="2"/>
        </w:numPr>
        <w:spacing w:after="90" w:line="276"/>
      </w:pPr>
      <w:r>
        <w:rPr>
          <w:rFonts w:ascii="Arial" w:cs="Arial" w:eastAsia="Arial" w:hAnsi="Arial"/>
          <w:color w:val="33332E"/>
          <w:sz w:val="21"/>
          <w:szCs w:val="21"/>
        </w:rPr>
        <w:t xml:space="preserve">City or county offices of new Americans / immigrant affairs</w:t>
      </w:r>
    </w:p>
    <w:p>
      <w:pPr>
        <w:pStyle w:val="ListParagraph"/>
        <w:numPr>
          <w:ilvl w:val="0"/>
          <w:numId w:val="2"/>
        </w:numPr>
        <w:spacing w:after="90" w:line="276"/>
      </w:pPr>
      <w:r>
        <w:rPr>
          <w:rFonts w:ascii="Arial" w:cs="Arial" w:eastAsia="Arial" w:hAnsi="Arial"/>
          <w:color w:val="33332E"/>
          <w:sz w:val="21"/>
          <w:szCs w:val="21"/>
        </w:rPr>
        <w:t xml:space="preserve">Food banks or health clinics serving immigrant neighborhoods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Meet the partner to learn what data questions matter to their work (e.g., languages spoken, arrivals by year, school enrollment).</w:t>
      </w:r>
    </w:p>
    <w:p>
      <w:pPr>
        <w:pStyle w:val="ListParagraph"/>
        <w:numPr>
          <w:ilvl w:val="0"/>
          <w:numId w:val="3"/>
        </w:numPr>
        <w:spacing w:after="90" w:line="276"/>
      </w:pPr>
      <w:r>
        <w:rPr>
          <w:rFonts w:ascii="Arial" w:cs="Arial" w:eastAsia="Arial" w:hAnsi="Arial"/>
          <w:color w:val="33332E"/>
          <w:sz w:val="21"/>
          <w:szCs w:val="21"/>
        </w:rPr>
        <w:t xml:space="preserve">Gather data from public sources: American Community Survey, refugee arrival data, school and health department statistics, UN/IOM country profiles.</w:t>
      </w:r>
    </w:p>
    <w:p>
      <w:pPr>
        <w:pStyle w:val="ListParagraph"/>
        <w:numPr>
          <w:ilvl w:val="0"/>
          <w:numId w:val="3"/>
        </w:numPr>
        <w:spacing w:after="90" w:line="276"/>
      </w:pPr>
      <w:r>
        <w:rPr>
          <w:rFonts w:ascii="Arial" w:cs="Arial" w:eastAsia="Arial" w:hAnsi="Arial"/>
          <w:color w:val="33332E"/>
          <w:sz w:val="21"/>
          <w:szCs w:val="21"/>
        </w:rPr>
        <w:t xml:space="preserve">Interview partner staff about who they serve whom the data does not capture (undocumented residents, children, people with disabilities).</w:t>
      </w:r>
    </w:p>
    <w:p>
      <w:pPr>
        <w:pStyle w:val="ListParagraph"/>
        <w:numPr>
          <w:ilvl w:val="0"/>
          <w:numId w:val="3"/>
        </w:numPr>
        <w:spacing w:after="90" w:line="276"/>
      </w:pPr>
      <w:r>
        <w:rPr>
          <w:rFonts w:ascii="Arial" w:cs="Arial" w:eastAsia="Arial" w:hAnsi="Arial"/>
          <w:color w:val="33332E"/>
          <w:sz w:val="21"/>
          <w:szCs w:val="21"/>
        </w:rPr>
        <w:t xml:space="preserve">Draft the profile in plain language with 3–4 clear charts; include a 'who is missing from these numbers' section.</w:t>
      </w:r>
    </w:p>
    <w:p>
      <w:pPr>
        <w:pStyle w:val="ListParagraph"/>
        <w:numPr>
          <w:ilvl w:val="0"/>
          <w:numId w:val="3"/>
        </w:numPr>
        <w:spacing w:after="90" w:line="276"/>
      </w:pPr>
      <w:r>
        <w:rPr>
          <w:rFonts w:ascii="Arial" w:cs="Arial" w:eastAsia="Arial" w:hAnsi="Arial"/>
          <w:color w:val="33332E"/>
          <w:sz w:val="21"/>
          <w:szCs w:val="21"/>
        </w:rPr>
        <w:t xml:space="preserve">Review the draft with the partner for accuracy and usefulness; revise.</w:t>
      </w:r>
    </w:p>
    <w:p>
      <w:pPr>
        <w:pStyle w:val="ListParagraph"/>
        <w:numPr>
          <w:ilvl w:val="0"/>
          <w:numId w:val="3"/>
        </w:numPr>
        <w:spacing w:after="90" w:line="276"/>
      </w:pPr>
      <w:r>
        <w:rPr>
          <w:rFonts w:ascii="Arial" w:cs="Arial" w:eastAsia="Arial" w:hAnsi="Arial"/>
          <w:color w:val="33332E"/>
          <w:sz w:val="21"/>
          <w:szCs w:val="21"/>
        </w:rPr>
        <w:t xml:space="preserve">Present the final profile to partner staff.</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4–6 page community data profile (partner keeps it)</w:t>
      </w:r>
    </w:p>
    <w:p>
      <w:pPr>
        <w:pStyle w:val="ListParagraph"/>
        <w:numPr>
          <w:ilvl w:val="0"/>
          <w:numId w:val="2"/>
        </w:numPr>
        <w:spacing w:after="90" w:line="276"/>
      </w:pPr>
      <w:r>
        <w:rPr>
          <w:rFonts w:ascii="Arial" w:cs="Arial" w:eastAsia="Arial" w:hAnsi="Arial"/>
          <w:color w:val="33332E"/>
          <w:sz w:val="21"/>
          <w:szCs w:val="21"/>
        </w:rPr>
        <w:t xml:space="preserve">'Data gaps' memo explaining limitations and missing populations</w:t>
      </w:r>
    </w:p>
    <w:p>
      <w:pPr>
        <w:pStyle w:val="ListParagraph"/>
        <w:numPr>
          <w:ilvl w:val="0"/>
          <w:numId w:val="2"/>
        </w:numPr>
        <w:spacing w:after="90" w:line="276"/>
      </w:pPr>
      <w:r>
        <w:rPr>
          <w:rFonts w:ascii="Arial" w:cs="Arial" w:eastAsia="Arial" w:hAnsi="Arial"/>
          <w:color w:val="33332E"/>
          <w:sz w:val="21"/>
          <w:szCs w:val="21"/>
        </w:rPr>
        <w:t xml:space="preserve">Reflection (2 pages) on the politics of counting</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 hours (partner meetings, data work, presentation).</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Use only aggregate public data; never collect or publish individual-level information about the partner's clients.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of data work and sourcing</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of data work and sourcing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of data work and sourcing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of data work and sourcing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of data work and sourcing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Honesty and clarity about data limitations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honesty and clarity about data limitations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honesty and clarity about data limitations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honesty and clarity about data limitations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honesty and clarity about data limitations is not achieved; errors, disorganization, or missing citations obscure the substance.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Usefulness to the partner, confirmed by partner feedback</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usefulness to the partner, confirmed by partner feedback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usefulness to the partner, confirmed by partner feedback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usefulness to the partner, confirmed by partner feedback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usefulness to the partner, confirmed by partner feedback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Communication quality — plain language and charts</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communication quality — plain language and charts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communication quality — plain language and charts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communication quality — plain language and charts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communication quality — plain language and charts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2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2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2026-07-21T19:52:49.234Z</dcterms:created>
  <dcterms:modified xsi:type="dcterms:W3CDTF">2026-07-21T19:52:49.234Z</dcterms:modified>
</cp:coreProperties>
</file>

<file path=docProps/custom.xml><?xml version="1.0" encoding="utf-8"?>
<Properties xmlns="http://schemas.openxmlformats.org/officeDocument/2006/custom-properties" xmlns:vt="http://schemas.openxmlformats.org/officeDocument/2006/docPropsVTypes"/>
</file>