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2: Migration Data and Global Trends</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Students work like analysts: using real datasets, they produce a short professional data brief that identifies genuine migration trends and — just as important — names who is missing from the numbers. The brief format teaches evidence communication for policy audiences.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Interpret migration datasets from at least two sources (UG 1)</w:t>
      </w:r>
    </w:p>
    <w:p>
      <w:pPr>
        <w:pStyle w:val="ListParagraph"/>
        <w:numPr>
          <w:ilvl w:val="0"/>
          <w:numId w:val="2"/>
        </w:numPr>
        <w:spacing w:after="90" w:line="276"/>
      </w:pPr>
      <w:r>
        <w:rPr>
          <w:rFonts w:ascii="Arial" w:cs="Arial" w:eastAsia="Arial" w:hAnsi="Arial"/>
          <w:color w:val="33332E"/>
          <w:sz w:val="21"/>
          <w:szCs w:val="21"/>
        </w:rPr>
        <w:t xml:space="preserve">Identify trends supported by the data, not headlines (UG 2)</w:t>
      </w:r>
    </w:p>
    <w:p>
      <w:pPr>
        <w:pStyle w:val="ListParagraph"/>
        <w:numPr>
          <w:ilvl w:val="0"/>
          <w:numId w:val="2"/>
        </w:numPr>
        <w:spacing w:after="90" w:line="276"/>
      </w:pPr>
      <w:r>
        <w:rPr>
          <w:rFonts w:ascii="Arial" w:cs="Arial" w:eastAsia="Arial" w:hAnsi="Arial"/>
          <w:color w:val="33332E"/>
          <w:sz w:val="21"/>
          <w:szCs w:val="21"/>
        </w:rPr>
        <w:t xml:space="preserve">Recognize missing populations — children, undocumented people, people with disabilities (UG 3)</w:t>
      </w:r>
    </w:p>
    <w:p>
      <w:pPr>
        <w:pStyle w:val="ListParagraph"/>
        <w:numPr>
          <w:ilvl w:val="0"/>
          <w:numId w:val="2"/>
        </w:numPr>
        <w:spacing w:after="90" w:line="276"/>
      </w:pPr>
      <w:r>
        <w:rPr>
          <w:rFonts w:ascii="Arial" w:cs="Arial" w:eastAsia="Arial" w:hAnsi="Arial"/>
          <w:color w:val="33332E"/>
          <w:sz w:val="21"/>
          <w:szCs w:val="21"/>
        </w:rPr>
        <w:t xml:space="preserve">Explain data limitations in plain language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critique the reliability and bias of their chosen datasets and close the brief with a concrete, feasible proposal for improving data collection on one invisible population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Choose a region, corridor, or population (e.g., Venezuelan displacement, Mediterranean crossings, South–South labor migration in Asia).</w:t>
      </w:r>
    </w:p>
    <w:p>
      <w:pPr>
        <w:pStyle w:val="ListParagraph"/>
        <w:numPr>
          <w:ilvl w:val="0"/>
          <w:numId w:val="3"/>
        </w:numPr>
        <w:spacing w:after="90" w:line="276"/>
      </w:pPr>
      <w:r>
        <w:rPr>
          <w:rFonts w:ascii="Arial" w:cs="Arial" w:eastAsia="Arial" w:hAnsi="Arial"/>
          <w:color w:val="33332E"/>
          <w:sz w:val="21"/>
          <w:szCs w:val="21"/>
        </w:rPr>
        <w:t xml:space="preserve">Pull data from at least two of: UN DESA international migrant stock, UNHCR Refugee Data Finder, IOM World Migration Report / Missing Migrants, World Bank remittances.</w:t>
      </w:r>
    </w:p>
    <w:p>
      <w:pPr>
        <w:pStyle w:val="ListParagraph"/>
        <w:numPr>
          <w:ilvl w:val="0"/>
          <w:numId w:val="3"/>
        </w:numPr>
        <w:spacing w:after="90" w:line="276"/>
      </w:pPr>
      <w:r>
        <w:rPr>
          <w:rFonts w:ascii="Arial" w:cs="Arial" w:eastAsia="Arial" w:hAnsi="Arial"/>
          <w:color w:val="33332E"/>
          <w:sz w:val="21"/>
          <w:szCs w:val="21"/>
        </w:rPr>
        <w:t xml:space="preserve">Identify 2–3 defensible trends; build one chart or table per trend with sources and years labeled.</w:t>
      </w:r>
    </w:p>
    <w:p>
      <w:pPr>
        <w:pStyle w:val="ListParagraph"/>
        <w:numPr>
          <w:ilvl w:val="0"/>
          <w:numId w:val="3"/>
        </w:numPr>
        <w:spacing w:after="90" w:line="276"/>
      </w:pPr>
      <w:r>
        <w:rPr>
          <w:rFonts w:ascii="Arial" w:cs="Arial" w:eastAsia="Arial" w:hAnsi="Arial"/>
          <w:color w:val="33332E"/>
          <w:sz w:val="21"/>
          <w:szCs w:val="21"/>
        </w:rPr>
        <w:t xml:space="preserve">Write the 'blind spots' section: who is not counted here, why, and how that gap could distort policy conclusions.</w:t>
      </w:r>
    </w:p>
    <w:p>
      <w:pPr>
        <w:pStyle w:val="ListParagraph"/>
        <w:numPr>
          <w:ilvl w:val="0"/>
          <w:numId w:val="3"/>
        </w:numPr>
        <w:spacing w:after="90" w:line="276"/>
      </w:pPr>
      <w:r>
        <w:rPr>
          <w:rFonts w:ascii="Arial" w:cs="Arial" w:eastAsia="Arial" w:hAnsi="Arial"/>
          <w:color w:val="33332E"/>
          <w:sz w:val="21"/>
          <w:szCs w:val="21"/>
        </w:rPr>
        <w:t xml:space="preserve">Draft the brief in professional format: headline findings up top, evidence in the middle, limitations clearly stated — no burying caveats.</w:t>
      </w:r>
    </w:p>
    <w:p>
      <w:pPr>
        <w:pStyle w:val="ListParagraph"/>
        <w:numPr>
          <w:ilvl w:val="0"/>
          <w:numId w:val="3"/>
        </w:numPr>
        <w:spacing w:after="90" w:line="276"/>
      </w:pPr>
      <w:r>
        <w:rPr>
          <w:rFonts w:ascii="Arial" w:cs="Arial" w:eastAsia="Arial" w:hAnsi="Arial"/>
          <w:color w:val="33332E"/>
          <w:sz w:val="21"/>
          <w:szCs w:val="21"/>
        </w:rPr>
        <w:t xml:space="preserve">Peer-exchange drafts in class; check each other's charts against the underlying numbers before final submission.</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Data brief, 3–4 pages including 2–3 original charts or tables (graduate adds a 1-page data-improvement proposal)</w:t>
      </w:r>
    </w:p>
    <w:p>
      <w:pPr>
        <w:pStyle w:val="ListParagraph"/>
        <w:numPr>
          <w:ilvl w:val="0"/>
          <w:numId w:val="2"/>
        </w:numPr>
        <w:spacing w:after="90" w:line="276"/>
      </w:pPr>
      <w:r>
        <w:rPr>
          <w:rFonts w:ascii="Arial" w:cs="Arial" w:eastAsia="Arial" w:hAnsi="Arial"/>
          <w:color w:val="33332E"/>
          <w:sz w:val="21"/>
          <w:szCs w:val="21"/>
        </w:rPr>
        <w:t xml:space="preserve">All data sources cited with dataset name, publisher, and year</w:t>
      </w:r>
    </w:p>
    <w:p>
      <w:pPr>
        <w:pStyle w:val="ListParagraph"/>
        <w:numPr>
          <w:ilvl w:val="0"/>
          <w:numId w:val="2"/>
        </w:numPr>
        <w:spacing w:after="90" w:line="276"/>
      </w:pPr>
      <w:r>
        <w:rPr>
          <w:rFonts w:ascii="Arial" w:cs="Arial" w:eastAsia="Arial" w:hAnsi="Arial"/>
          <w:color w:val="33332E"/>
          <w:sz w:val="21"/>
          <w:szCs w:val="21"/>
        </w:rPr>
        <w:t xml:space="preserve">One-paragraph executive summary written for a non-specialist reader</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of data handling and sourcing</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accuracy of data handling and sourcing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accuracy of data handling and sourcing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accuracy of data handling and sourcing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accuracy of data handling and sourcing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Validity of identified trends — claims match the evidence</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validity of identified trends — claims match the evidence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validity of identified trends — claims match the evidence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validity of identified trends — claims match the evidence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validity of identified trends — claims match the evidence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the blind-spots analysis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the blind-spots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the blind-spots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the blind-spots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the blind-spots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Professional communication: clarity, charts, executive summary</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professional communication: clarity, charts, executive summary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professional communication: clarity, charts, executive summary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professional communication: clarity, charts, executive summary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professional communication: clarity, charts, executive summary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2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2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2026-07-21T19:52:49.225Z</dcterms:created>
  <dcterms:modified xsi:type="dcterms:W3CDTF">2026-07-21T19:52:49.225Z</dcterms:modified>
</cp:coreProperties>
</file>

<file path=docProps/custom.xml><?xml version="1.0" encoding="utf-8"?>
<Properties xmlns="http://schemas.openxmlformats.org/officeDocument/2006/custom-properties" xmlns:vt="http://schemas.openxmlformats.org/officeDocument/2006/docPropsVTypes"/>
</file>