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3: Religion, Ethics, and Migration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Ethics at the Border of Policy: Religious Actors in a Contemporary Migration Debate</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research paper critically evaluating how competing ethical frameworks and religious actors have shaped one contemporary migration policy debate (e.g., sanctuary policies, asylum caps, border externalization).</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Critically evaluate ethical frameworks (Grad 1)</w:t>
      </w:r>
    </w:p>
    <w:p>
      <w:pPr>
        <w:pStyle w:val="ListParagraph"/>
        <w:numPr>
          <w:ilvl w:val="0"/>
          <w:numId w:val="2"/>
        </w:numPr>
        <w:spacing w:after="90" w:line="276"/>
      </w:pPr>
      <w:r>
        <w:rPr>
          <w:rFonts w:ascii="Arial" w:cs="Arial" w:eastAsia="Arial" w:hAnsi="Arial"/>
          <w:color w:val="33332E"/>
          <w:sz w:val="21"/>
          <w:szCs w:val="21"/>
        </w:rPr>
        <w:t xml:space="preserve">Apply frameworks to policy debates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How do consequentialist, rights-based, and theological arguments collide in your chosen debate?</w:t>
      </w:r>
    </w:p>
    <w:p>
      <w:pPr>
        <w:pStyle w:val="ListParagraph"/>
        <w:numPr>
          <w:ilvl w:val="0"/>
          <w:numId w:val="2"/>
        </w:numPr>
        <w:spacing w:after="90" w:line="276"/>
      </w:pPr>
      <w:r>
        <w:rPr>
          <w:rFonts w:ascii="Arial" w:cs="Arial" w:eastAsia="Arial" w:hAnsi="Arial"/>
          <w:color w:val="33332E"/>
          <w:sz w:val="21"/>
          <w:szCs w:val="21"/>
        </w:rPr>
        <w:t xml:space="preserve">When religious institutions intervene (e.g., sanctuary movement, papal statements), what ethical framework are they operationalizing?</w:t>
      </w:r>
    </w:p>
    <w:p>
      <w:pPr>
        <w:pStyle w:val="ListParagraph"/>
        <w:numPr>
          <w:ilvl w:val="0"/>
          <w:numId w:val="2"/>
        </w:numPr>
        <w:spacing w:after="90" w:line="276"/>
      </w:pPr>
      <w:r>
        <w:rPr>
          <w:rFonts w:ascii="Arial" w:cs="Arial" w:eastAsia="Arial" w:hAnsi="Arial"/>
          <w:color w:val="33332E"/>
          <w:sz w:val="21"/>
          <w:szCs w:val="21"/>
        </w:rPr>
        <w:t xml:space="preserve">Which arguments actually moved policy, and which remained rhetorical?</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Framework-based documentary analysis: policy documents, religious statements, advocacy materials, and scholarship. Optional 1–2 expert interviews with clergy or advocates.</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Required only if conducting interviews; consult your IRB for expedited review. Documentary-only versions need no review.</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4,000–5,000-word analytical paper</w:t>
      </w:r>
    </w:p>
    <w:p>
      <w:pPr>
        <w:pStyle w:val="ListParagraph"/>
        <w:numPr>
          <w:ilvl w:val="0"/>
          <w:numId w:val="2"/>
        </w:numPr>
        <w:spacing w:after="90" w:line="276"/>
      </w:pPr>
      <w:r>
        <w:rPr>
          <w:rFonts w:ascii="Arial" w:cs="Arial" w:eastAsia="Arial" w:hAnsi="Arial"/>
          <w:color w:val="33332E"/>
          <w:sz w:val="21"/>
          <w:szCs w:val="21"/>
        </w:rPr>
        <w:t xml:space="preserve">800-word public commentary (op-ed style) translating the analysis for a general audience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Sophistication of ethical framework application</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sophistication of ethical framework application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sophistication of ethical framework application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sophistication of ethical framework application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sophistication of ethical framework application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base and fairness to opposing views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base and fairness to opposing views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base and fairness to opposing views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base and fairness to opposing views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base and fairness to opposing views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Analytical originality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analytical originality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analytical originality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analytical originality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analytical originality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public commentary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public commentary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public commentary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public commentary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public commentary is not achieved; the work describes without analyzing or draws conclusions its own material does not support.</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2026-07-21T19:52:49.277Z</dcterms:created>
  <dcterms:modified xsi:type="dcterms:W3CDTF">2026-07-21T19:52:49.277Z</dcterms:modified>
</cp:coreProperties>
</file>

<file path=docProps/custom.xml><?xml version="1.0" encoding="utf-8"?>
<Properties xmlns="http://schemas.openxmlformats.org/officeDocument/2006/custom-properties" xmlns:vt="http://schemas.openxmlformats.org/officeDocument/2006/docPropsVTypes"/>
</file>