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3: Religion, Ethics, and Migration</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Hospitality in Practice: Serving with a Faith-Based Welcome Ministry</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Serve alongside a faith-based or interfaith organization that welcomes migrants, and analyze how ethical and religious frameworks from the module show up — or don't — in day-to-day practice.</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ethical perspectives on migration as enacted in practice (UG 1)</w:t>
      </w:r>
    </w:p>
    <w:p>
      <w:pPr>
        <w:pStyle w:val="ListParagraph"/>
        <w:numPr>
          <w:ilvl w:val="0"/>
          <w:numId w:val="2"/>
        </w:numPr>
        <w:spacing w:after="90" w:line="276"/>
      </w:pPr>
      <w:r>
        <w:rPr>
          <w:rFonts w:ascii="Arial" w:cs="Arial" w:eastAsia="Arial" w:hAnsi="Arial"/>
          <w:color w:val="33332E"/>
          <w:sz w:val="21"/>
          <w:szCs w:val="21"/>
        </w:rPr>
        <w:t xml:space="preserve">Explain religious influences on migration response (UG 2)</w:t>
      </w:r>
    </w:p>
    <w:p>
      <w:pPr>
        <w:pStyle w:val="ListParagraph"/>
        <w:numPr>
          <w:ilvl w:val="0"/>
          <w:numId w:val="2"/>
        </w:numPr>
        <w:spacing w:after="90" w:line="276"/>
      </w:pPr>
      <w:r>
        <w:rPr>
          <w:rFonts w:ascii="Arial" w:cs="Arial" w:eastAsia="Arial" w:hAnsi="Arial"/>
          <w:color w:val="33332E"/>
          <w:sz w:val="21"/>
          <w:szCs w:val="21"/>
        </w:rPr>
        <w:t xml:space="preserve">Analyze moral dilemmas that arise in real service settings (UG 3)</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Catholic Charities or diocesan migrant ministries</w:t>
      </w:r>
    </w:p>
    <w:p>
      <w:pPr>
        <w:pStyle w:val="ListParagraph"/>
        <w:numPr>
          <w:ilvl w:val="0"/>
          <w:numId w:val="2"/>
        </w:numPr>
        <w:spacing w:after="90" w:line="276"/>
      </w:pPr>
      <w:r>
        <w:rPr>
          <w:rFonts w:ascii="Arial" w:cs="Arial" w:eastAsia="Arial" w:hAnsi="Arial"/>
          <w:color w:val="33332E"/>
          <w:sz w:val="21"/>
          <w:szCs w:val="21"/>
        </w:rPr>
        <w:t xml:space="preserve">Interfaith refugee co-sponsorship circles</w:t>
      </w:r>
    </w:p>
    <w:p>
      <w:pPr>
        <w:pStyle w:val="ListParagraph"/>
        <w:numPr>
          <w:ilvl w:val="0"/>
          <w:numId w:val="2"/>
        </w:numPr>
        <w:spacing w:after="90" w:line="276"/>
      </w:pPr>
      <w:r>
        <w:rPr>
          <w:rFonts w:ascii="Arial" w:cs="Arial" w:eastAsia="Arial" w:hAnsi="Arial"/>
          <w:color w:val="33332E"/>
          <w:sz w:val="21"/>
          <w:szCs w:val="21"/>
        </w:rPr>
        <w:t xml:space="preserve">Congregation-based ESL, accompaniment, or hospitality programs</w:t>
      </w:r>
    </w:p>
    <w:p>
      <w:pPr>
        <w:pStyle w:val="ListParagraph"/>
        <w:numPr>
          <w:ilvl w:val="0"/>
          <w:numId w:val="2"/>
        </w:numPr>
        <w:spacing w:after="90" w:line="276"/>
      </w:pPr>
      <w:r>
        <w:rPr>
          <w:rFonts w:ascii="Arial" w:cs="Arial" w:eastAsia="Arial" w:hAnsi="Arial"/>
          <w:color w:val="33332E"/>
          <w:sz w:val="21"/>
          <w:szCs w:val="21"/>
        </w:rPr>
        <w:t xml:space="preserve">Campus ministry service programs focused on newcomers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partner orientation and read the partner's mission/values statements.</w:t>
      </w:r>
    </w:p>
    <w:p>
      <w:pPr>
        <w:pStyle w:val="ListParagraph"/>
        <w:numPr>
          <w:ilvl w:val="0"/>
          <w:numId w:val="3"/>
        </w:numPr>
        <w:spacing w:after="90" w:line="276"/>
      </w:pPr>
      <w:r>
        <w:rPr>
          <w:rFonts w:ascii="Arial" w:cs="Arial" w:eastAsia="Arial" w:hAnsi="Arial"/>
          <w:color w:val="33332E"/>
          <w:sz w:val="21"/>
          <w:szCs w:val="21"/>
        </w:rPr>
        <w:t xml:space="preserve">Serve at least four sessions in a hospitality role (meal programs, ESL support, accompaniment, donation organizing).</w:t>
      </w:r>
    </w:p>
    <w:p>
      <w:pPr>
        <w:pStyle w:val="ListParagraph"/>
        <w:numPr>
          <w:ilvl w:val="0"/>
          <w:numId w:val="3"/>
        </w:numPr>
        <w:spacing w:after="90" w:line="276"/>
      </w:pPr>
      <w:r>
        <w:rPr>
          <w:rFonts w:ascii="Arial" w:cs="Arial" w:eastAsia="Arial" w:hAnsi="Arial"/>
          <w:color w:val="33332E"/>
          <w:sz w:val="21"/>
          <w:szCs w:val="21"/>
        </w:rPr>
        <w:t xml:space="preserve">Keep a field journal linking observed practices to module frameworks (hospitality vs. exclusion, Catholic social teaching, ethics of welcome).</w:t>
      </w:r>
    </w:p>
    <w:p>
      <w:pPr>
        <w:pStyle w:val="ListParagraph"/>
        <w:numPr>
          <w:ilvl w:val="0"/>
          <w:numId w:val="3"/>
        </w:numPr>
        <w:spacing w:after="90" w:line="276"/>
      </w:pPr>
      <w:r>
        <w:rPr>
          <w:rFonts w:ascii="Arial" w:cs="Arial" w:eastAsia="Arial" w:hAnsi="Arial"/>
          <w:color w:val="33332E"/>
          <w:sz w:val="21"/>
          <w:szCs w:val="21"/>
        </w:rPr>
        <w:t xml:space="preserve">Identify one real moral dilemma you observed or heard about (de-identified) and analyze it with two ethical frameworks from the module.</w:t>
      </w:r>
    </w:p>
    <w:p>
      <w:pPr>
        <w:pStyle w:val="ListParagraph"/>
        <w:numPr>
          <w:ilvl w:val="0"/>
          <w:numId w:val="3"/>
        </w:numPr>
        <w:spacing w:after="90" w:line="276"/>
      </w:pPr>
      <w:r>
        <w:rPr>
          <w:rFonts w:ascii="Arial" w:cs="Arial" w:eastAsia="Arial" w:hAnsi="Arial"/>
          <w:color w:val="33332E"/>
          <w:sz w:val="21"/>
          <w:szCs w:val="21"/>
        </w:rPr>
        <w:t xml:space="preserve">Discuss your analysis with a staff member or volunteer coordinator for their practitioner perspective.</w:t>
      </w:r>
    </w:p>
    <w:p>
      <w:pPr>
        <w:pStyle w:val="ListParagraph"/>
        <w:numPr>
          <w:ilvl w:val="0"/>
          <w:numId w:val="3"/>
        </w:numPr>
        <w:spacing w:after="90" w:line="276"/>
      </w:pPr>
      <w:r>
        <w:rPr>
          <w:rFonts w:ascii="Arial" w:cs="Arial" w:eastAsia="Arial" w:hAnsi="Arial"/>
          <w:color w:val="33332E"/>
          <w:sz w:val="21"/>
          <w:szCs w:val="21"/>
        </w:rPr>
        <w:t xml:space="preserve">Write the final case analysis and share a summary with the partner if they wish.</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Field journal (4+ entries)</w:t>
      </w:r>
    </w:p>
    <w:p>
      <w:pPr>
        <w:pStyle w:val="ListParagraph"/>
        <w:numPr>
          <w:ilvl w:val="0"/>
          <w:numId w:val="2"/>
        </w:numPr>
        <w:spacing w:after="90" w:line="276"/>
      </w:pPr>
      <w:r>
        <w:rPr>
          <w:rFonts w:ascii="Arial" w:cs="Arial" w:eastAsia="Arial" w:hAnsi="Arial"/>
          <w:color w:val="33332E"/>
          <w:sz w:val="21"/>
          <w:szCs w:val="21"/>
        </w:rPr>
        <w:t xml:space="preserve">Ethical dilemma case analysis (3–4 pages) using two frameworks</w:t>
      </w:r>
    </w:p>
    <w:p>
      <w:pPr>
        <w:pStyle w:val="ListParagraph"/>
        <w:numPr>
          <w:ilvl w:val="0"/>
          <w:numId w:val="2"/>
        </w:numPr>
        <w:spacing w:after="90" w:line="276"/>
      </w:pPr>
      <w:r>
        <w:rPr>
          <w:rFonts w:ascii="Arial" w:cs="Arial" w:eastAsia="Arial" w:hAnsi="Arial"/>
          <w:color w:val="33332E"/>
          <w:sz w:val="21"/>
          <w:szCs w:val="21"/>
        </w:rPr>
        <w:t xml:space="preserve">One-page practitioner-perspective summary</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14–16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Students of all faiths and none participate as learners and helpers, not evangelists; respect the partner's community norms.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Reliable, respectful service participation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reliable, respectful service participation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reliable, respectful service participation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reliable, respectful service participation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reliable, respectful service participation is neglected in ways that required intervention or placed participants, partners, or material at risk.</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Accurate use of ethical and religious frameworks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accurate use of ethical and religious frameworks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accurate use of ethical and religious frameworks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accurate use of ethical and religious frameworks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accurate use of ethical and religious frameworks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dilemma analysis — genuine tension, not a straw man</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dilemma analysis — genuine tension, not a straw man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dilemma analysis — genuine tension, not a straw man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dilemma analysis — genuine tension, not a straw man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dilemma analysis — genuine tension, not a straw man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Integration of the practitioner's perspective</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integration of the practitioner's perspective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integration of the practitioner's perspective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integration of the practitioner's perspective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integration of the practitioner's perspective is not achieved; the work describes without analyzing or draws conclusions its own material does not support.</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3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3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2026-07-21T19:52:49.261Z</dcterms:created>
  <dcterms:modified xsi:type="dcterms:W3CDTF">2026-07-21T19:52:49.261Z</dcterms:modified>
</cp:coreProperties>
</file>

<file path=docProps/custom.xml><?xml version="1.0" encoding="utf-8"?>
<Properties xmlns="http://schemas.openxmlformats.org/officeDocument/2006/custom-properties" xmlns:vt="http://schemas.openxmlformats.org/officeDocument/2006/docPropsVTypes"/>
</file>