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3: Religion, Ethics, and Migration</w:t>
      </w:r>
    </w:p>
    <w:p>
      <w:pPr>
        <w:pBdr>
          <w:bottom w:val="single" w:color="E7F2F9" w:sz="6" w:space="6"/>
        </w:pBdr>
        <w:spacing w:after="220"/>
      </w:pPr>
      <w:r>
        <w:rPr>
          <w:rFonts w:ascii="Arial" w:cs="Arial" w:eastAsia="Arial" w:hAnsi="Arial"/>
          <w:b/>
          <w:bCs/>
          <w:color w:val="175A82"/>
          <w:sz w:val="22"/>
          <w:szCs w:val="22"/>
        </w:rPr>
        <w:t xml:space="preserve">Signature Learning Experience</w:t>
      </w:r>
    </w:p>
    <w:p>
      <w:pPr>
        <w:pStyle w:val="Heading2"/>
        <w:spacing w:after="120" w:before="260"/>
      </w:pPr>
      <w:r>
        <w:rPr>
          <w:rFonts w:ascii="Arial" w:cs="Arial" w:eastAsia="Arial" w:hAnsi="Arial"/>
          <w:b/>
          <w:bCs/>
          <w:color w:val="175A82"/>
          <w:sz w:val="24"/>
          <w:szCs w:val="24"/>
        </w:rPr>
        <w:t xml:space="preserve">Purpose</w:t>
      </w:r>
    </w:p>
    <w:p>
      <w:pPr>
        <w:spacing w:after="160" w:line="276"/>
      </w:pPr>
      <w:r>
        <w:rPr>
          <w:rFonts w:ascii="Arial" w:cs="Arial" w:eastAsia="Arial" w:hAnsi="Arial"/>
          <w:color w:val="33332E"/>
          <w:sz w:val="21"/>
          <w:szCs w:val="21"/>
        </w:rPr>
        <w:t xml:space="preserve">Students confront a real moral dilemma in migration — one with no comfortable answer — and analyze it rigorously through at least two ethical frameworks. The goal is disciplined moral reasoning: understanding why thoughtful people disagree, not producing the 'right' answer.</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Describe ethical perspectives accurately, including ones you reject (UG 1)</w:t>
      </w:r>
    </w:p>
    <w:p>
      <w:pPr>
        <w:pStyle w:val="ListParagraph"/>
        <w:numPr>
          <w:ilvl w:val="0"/>
          <w:numId w:val="2"/>
        </w:numPr>
        <w:spacing w:after="90" w:line="276"/>
      </w:pPr>
      <w:r>
        <w:rPr>
          <w:rFonts w:ascii="Arial" w:cs="Arial" w:eastAsia="Arial" w:hAnsi="Arial"/>
          <w:color w:val="33332E"/>
          <w:sz w:val="21"/>
          <w:szCs w:val="21"/>
        </w:rPr>
        <w:t xml:space="preserve">Explain religious influences on migration ethics where relevant to the case (UG 2)</w:t>
      </w:r>
    </w:p>
    <w:p>
      <w:pPr>
        <w:pStyle w:val="ListParagraph"/>
        <w:numPr>
          <w:ilvl w:val="0"/>
          <w:numId w:val="2"/>
        </w:numPr>
        <w:spacing w:after="90" w:line="276"/>
      </w:pPr>
      <w:r>
        <w:rPr>
          <w:rFonts w:ascii="Arial" w:cs="Arial" w:eastAsia="Arial" w:hAnsi="Arial"/>
          <w:color w:val="33332E"/>
          <w:sz w:val="21"/>
          <w:szCs w:val="21"/>
        </w:rPr>
        <w:t xml:space="preserve">Analyze a moral dilemma without collapsing it into a slogan (UG 3)</w:t>
      </w:r>
    </w:p>
    <w:p>
      <w:pPr>
        <w:pStyle w:val="Heading2"/>
        <w:spacing w:after="120" w:before="260"/>
      </w:pPr>
      <w:r>
        <w:rPr>
          <w:rFonts w:ascii="Arial" w:cs="Arial" w:eastAsia="Arial" w:hAnsi="Arial"/>
          <w:b/>
          <w:bCs/>
          <w:color w:val="175A82"/>
          <w:sz w:val="24"/>
          <w:szCs w:val="24"/>
        </w:rPr>
        <w:t xml:space="preserve">Graduate extension</w:t>
      </w:r>
    </w:p>
    <w:p>
      <w:pPr>
        <w:spacing w:after="160" w:line="276"/>
      </w:pPr>
      <w:r>
        <w:rPr>
          <w:rFonts w:ascii="Arial" w:cs="Arial" w:eastAsia="Arial" w:hAnsi="Arial"/>
          <w:color w:val="33332E"/>
          <w:sz w:val="21"/>
          <w:szCs w:val="21"/>
        </w:rPr>
        <w:t xml:space="preserve">Graduate students critically evaluate the frameworks themselves — where does each framework break down under this case? — and connect the dilemma to a live policy debate with scholarly sources (Grad 1–2).</w:t>
      </w:r>
    </w:p>
    <w:p>
      <w:pPr>
        <w:pStyle w:val="Heading2"/>
        <w:spacing w:after="120" w:before="260"/>
      </w:pPr>
      <w:r>
        <w:rPr>
          <w:rFonts w:ascii="Arial" w:cs="Arial" w:eastAsia="Arial" w:hAnsi="Arial"/>
          <w:b/>
          <w:bCs/>
          <w:color w:val="175A82"/>
          <w:sz w:val="24"/>
          <w:szCs w:val="24"/>
        </w:rPr>
        <w:t xml:space="preserve">Assignment steps</w:t>
      </w:r>
    </w:p>
    <w:p>
      <w:pPr>
        <w:pStyle w:val="ListParagraph"/>
        <w:numPr>
          <w:ilvl w:val="0"/>
          <w:numId w:val="3"/>
        </w:numPr>
        <w:spacing w:after="90" w:line="276"/>
      </w:pPr>
      <w:r>
        <w:rPr>
          <w:rFonts w:ascii="Arial" w:cs="Arial" w:eastAsia="Arial" w:hAnsi="Arial"/>
          <w:color w:val="33332E"/>
          <w:sz w:val="21"/>
          <w:szCs w:val="21"/>
        </w:rPr>
        <w:t xml:space="preserve">Select one dilemma from the provided case bank (e.g., a mayor deciding on sanctuary policy under state pressure; a border officer and a family with a weak asylum claim; a church congregation sheltering someone with a removal order) or propose your own for approval.</w:t>
      </w:r>
    </w:p>
    <w:p>
      <w:pPr>
        <w:pStyle w:val="ListParagraph"/>
        <w:numPr>
          <w:ilvl w:val="0"/>
          <w:numId w:val="3"/>
        </w:numPr>
        <w:spacing w:after="90" w:line="276"/>
      </w:pPr>
      <w:r>
        <w:rPr>
          <w:rFonts w:ascii="Arial" w:cs="Arial" w:eastAsia="Arial" w:hAnsi="Arial"/>
          <w:color w:val="33332E"/>
          <w:sz w:val="21"/>
          <w:szCs w:val="21"/>
        </w:rPr>
        <w:t xml:space="preserve">State the dilemma precisely: who must decide, what the options are, and what each option costs — if one side has no real cost, it is not a dilemma; sharpen it.</w:t>
      </w:r>
    </w:p>
    <w:p>
      <w:pPr>
        <w:pStyle w:val="ListParagraph"/>
        <w:numPr>
          <w:ilvl w:val="0"/>
          <w:numId w:val="3"/>
        </w:numPr>
        <w:spacing w:after="90" w:line="276"/>
      </w:pPr>
      <w:r>
        <w:rPr>
          <w:rFonts w:ascii="Arial" w:cs="Arial" w:eastAsia="Arial" w:hAnsi="Arial"/>
          <w:color w:val="33332E"/>
          <w:sz w:val="21"/>
          <w:szCs w:val="21"/>
        </w:rPr>
        <w:t xml:space="preserve">Analyze the case through two frameworks from the module (e.g., rights-based ethics, consequentialism, Catholic social teaching / ethics of hospitality, communitarianism).</w:t>
      </w:r>
    </w:p>
    <w:p>
      <w:pPr>
        <w:pStyle w:val="ListParagraph"/>
        <w:numPr>
          <w:ilvl w:val="0"/>
          <w:numId w:val="3"/>
        </w:numPr>
        <w:spacing w:after="90" w:line="276"/>
      </w:pPr>
      <w:r>
        <w:rPr>
          <w:rFonts w:ascii="Arial" w:cs="Arial" w:eastAsia="Arial" w:hAnsi="Arial"/>
          <w:color w:val="33332E"/>
          <w:sz w:val="21"/>
          <w:szCs w:val="21"/>
        </w:rPr>
        <w:t xml:space="preserve">Show where the frameworks converge and where they give opposing guidance.</w:t>
      </w:r>
    </w:p>
    <w:p>
      <w:pPr>
        <w:pStyle w:val="ListParagraph"/>
        <w:numPr>
          <w:ilvl w:val="0"/>
          <w:numId w:val="3"/>
        </w:numPr>
        <w:spacing w:after="90" w:line="276"/>
      </w:pPr>
      <w:r>
        <w:rPr>
          <w:rFonts w:ascii="Arial" w:cs="Arial" w:eastAsia="Arial" w:hAnsi="Arial"/>
          <w:color w:val="33332E"/>
          <w:sz w:val="21"/>
          <w:szCs w:val="21"/>
        </w:rPr>
        <w:t xml:space="preserve">State your own reasoned position and its strongest counterargument — you are graded on the counterargument's strength, not your conclusion.</w:t>
      </w:r>
    </w:p>
    <w:p>
      <w:pPr>
        <w:pStyle w:val="ListParagraph"/>
        <w:numPr>
          <w:ilvl w:val="0"/>
          <w:numId w:val="3"/>
        </w:numPr>
        <w:spacing w:after="90" w:line="276"/>
      </w:pPr>
      <w:r>
        <w:rPr>
          <w:rFonts w:ascii="Arial" w:cs="Arial" w:eastAsia="Arial" w:hAnsi="Arial"/>
          <w:color w:val="33332E"/>
          <w:sz w:val="21"/>
          <w:szCs w:val="21"/>
        </w:rPr>
        <w:t xml:space="preserve">Discuss the case in the seminar session before submitting the final written analysis.</w:t>
      </w:r>
    </w:p>
    <w:p>
      <w:pPr>
        <w:pStyle w:val="Heading2"/>
        <w:spacing w:after="120" w:before="260"/>
      </w:pPr>
      <w:r>
        <w:rPr>
          <w:rFonts w:ascii="Arial" w:cs="Arial" w:eastAsia="Arial" w:hAnsi="Arial"/>
          <w:b/>
          <w:bCs/>
          <w:color w:val="175A82"/>
          <w:sz w:val="24"/>
          <w:szCs w:val="24"/>
        </w:rPr>
        <w:t xml:space="preserve">Deliverables &amp; format</w:t>
      </w:r>
    </w:p>
    <w:p>
      <w:pPr>
        <w:pStyle w:val="ListParagraph"/>
        <w:numPr>
          <w:ilvl w:val="0"/>
          <w:numId w:val="2"/>
        </w:numPr>
        <w:spacing w:after="90" w:line="276"/>
      </w:pPr>
      <w:r>
        <w:rPr>
          <w:rFonts w:ascii="Arial" w:cs="Arial" w:eastAsia="Arial" w:hAnsi="Arial"/>
          <w:color w:val="33332E"/>
          <w:sz w:val="21"/>
          <w:szCs w:val="21"/>
        </w:rPr>
        <w:t xml:space="preserve">Written case analysis, 1,500–1,800 words (graduate: 2,500 with framework critique and policy connection)</w:t>
      </w:r>
    </w:p>
    <w:p>
      <w:pPr>
        <w:pStyle w:val="ListParagraph"/>
        <w:numPr>
          <w:ilvl w:val="0"/>
          <w:numId w:val="2"/>
        </w:numPr>
        <w:spacing w:after="90" w:line="276"/>
      </w:pPr>
      <w:r>
        <w:rPr>
          <w:rFonts w:ascii="Arial" w:cs="Arial" w:eastAsia="Arial" w:hAnsi="Arial"/>
          <w:color w:val="33332E"/>
          <w:sz w:val="21"/>
          <w:szCs w:val="21"/>
        </w:rPr>
        <w:t xml:space="preserve">Case statement box (150 words) that a classmate could understand cold</w:t>
      </w:r>
    </w:p>
    <w:p>
      <w:pPr>
        <w:pStyle w:val="ListParagraph"/>
        <w:numPr>
          <w:ilvl w:val="0"/>
          <w:numId w:val="2"/>
        </w:numPr>
        <w:spacing w:after="90" w:line="276"/>
      </w:pPr>
      <w:r>
        <w:rPr>
          <w:rFonts w:ascii="Arial" w:cs="Arial" w:eastAsia="Arial" w:hAnsi="Arial"/>
          <w:color w:val="33332E"/>
          <w:sz w:val="21"/>
          <w:szCs w:val="21"/>
        </w:rPr>
        <w:t xml:space="preserve">Minimum 4 module sources (graduate: 8 including 4 peer-reviewed)</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Precision of the dilemma statement</w:t>
            </w:r>
          </w:p>
          <w:p>
            <w:pPr>
              <w:spacing w:after="40" w:line="250"/>
            </w:pPr>
            <w:r>
              <w:rPr>
                <w:rFonts w:ascii="Arial" w:cs="Arial" w:eastAsia="Arial" w:hAnsi="Arial"/>
                <w:b/>
                <w:bCs/>
                <w:color w:val="175A82"/>
                <w:sz w:val="18"/>
                <w:szCs w:val="18"/>
              </w:rPr>
              <w:t xml:space="preserve">15%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precision of the dilemma statement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precision of the dilemma statement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precision of the dilemma statement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precision of the dilemma statement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Accurate, fair application of both frameworks</w:t>
            </w:r>
          </w:p>
          <w:p>
            <w:pPr>
              <w:spacing w:after="40" w:line="250"/>
            </w:pPr>
            <w:r>
              <w:rPr>
                <w:rFonts w:ascii="Arial" w:cs="Arial" w:eastAsia="Arial" w:hAnsi="Arial"/>
                <w:b/>
                <w:bCs/>
                <w:color w:val="175A82"/>
                <w:sz w:val="18"/>
                <w:szCs w:val="18"/>
              </w:rPr>
              <w:t xml:space="preserve">35%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accurate, fair application of both frameworks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accurate, fair application of both frameworks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accurate, fair application of both frameworks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accurate, fair application of both frameworks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Strength of the counterargument to your own position</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strength of the counterargument to your own position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strength of the counterargument to your own position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strength of the counterargument to your own position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strength of the counterargument to your own position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Use of course concepts and sources</w:t>
            </w:r>
          </w:p>
          <w:p>
            <w:pPr>
              <w:spacing w:after="40" w:line="250"/>
            </w:pPr>
            <w:r>
              <w:rPr>
                <w:rFonts w:ascii="Arial" w:cs="Arial" w:eastAsia="Arial" w:hAnsi="Arial"/>
                <w:b/>
                <w:bCs/>
                <w:color w:val="175A82"/>
                <w:sz w:val="18"/>
                <w:szCs w:val="18"/>
              </w:rPr>
              <w:t xml:space="preserve">15%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exemplary: use of course concepts and sources is met with high-quality, correctly cited sources for every substantive claim; terms, facts, and frameworks are used precisely.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solid: use of course concepts and sources is met for nearly all claims, with only minor sourcing gaps or imprecisions that do not affect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uneven: use of course concepts and sources is partly met — some claims lack support, sources are thin or misread, or terms are used loosely in ways that weaken conclusions.</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Evidence and accuracy are deficient: use of course concepts and sources is not met; key claims are unsupported or wrong, and errors undermine the work's conclusions.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Clarity of writing</w:t>
            </w:r>
          </w:p>
          <w:p>
            <w:pPr>
              <w:spacing w:after="40" w:line="250"/>
            </w:pPr>
            <w:r>
              <w:rPr>
                <w:rFonts w:ascii="Arial" w:cs="Arial" w:eastAsia="Arial" w:hAnsi="Arial"/>
                <w:b/>
                <w:bCs/>
                <w:color w:val="175A82"/>
                <w:sz w:val="18"/>
                <w:szCs w:val="18"/>
              </w:rPr>
              <w:t xml:space="preserve">10%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publication-ready: clarity of writing is achieved with precise, well-organized prose, correct citation, and figures or formats that make the argument easier to grasp.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clear and professional: clarity of writing is achieved with minor lapses in polish, organization, or citation that never obscure meaning.</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is understandable but rough: clarity of writing is only partly achieved — disorganization, citation errors, or unclear figures make the reader work to follow the argument.</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Communication impedes the work: clarity of writing is not achieved; errors, disorganization, or missing citations obscure the substance.</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3 · Signature Learning Experience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3 · Signature Learning Experience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2026-07-21T19:52:49.250Z</dcterms:created>
  <dcterms:modified xsi:type="dcterms:W3CDTF">2026-07-21T19:52:49.250Z</dcterms:modified>
</cp:coreProperties>
</file>

<file path=docProps/custom.xml><?xml version="1.0" encoding="utf-8"?>
<Properties xmlns="http://schemas.openxmlformats.org/officeDocument/2006/custom-properties" xmlns:vt="http://schemas.openxmlformats.org/officeDocument/2006/docPropsVTypes"/>
</file>