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4: Drivers of Migration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Layered Drivers in Our Community: Country-Conditions Research for Casework</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Support a legal aid or immigrant services organization by producing supervised country-conditions or driver-mapping summaries that help staff understand why their clients migrated.</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Identify key drivers in real cases (UG 1)</w:t>
      </w:r>
    </w:p>
    <w:p>
      <w:pPr>
        <w:pStyle w:val="ListParagraph"/>
        <w:numPr>
          <w:ilvl w:val="0"/>
          <w:numId w:val="2"/>
        </w:numPr>
        <w:spacing w:after="90" w:line="276"/>
      </w:pPr>
      <w:r>
        <w:rPr>
          <w:rFonts w:ascii="Arial" w:cs="Arial" w:eastAsia="Arial" w:hAnsi="Arial"/>
          <w:color w:val="33332E"/>
          <w:sz w:val="21"/>
          <w:szCs w:val="21"/>
        </w:rPr>
        <w:t xml:space="preserve">Explain push/pull complexity beyond single-cause stories (UG 2)</w:t>
      </w:r>
    </w:p>
    <w:p>
      <w:pPr>
        <w:pStyle w:val="ListParagraph"/>
        <w:numPr>
          <w:ilvl w:val="0"/>
          <w:numId w:val="2"/>
        </w:numPr>
        <w:spacing w:after="90" w:line="276"/>
      </w:pPr>
      <w:r>
        <w:rPr>
          <w:rFonts w:ascii="Arial" w:cs="Arial" w:eastAsia="Arial" w:hAnsi="Arial"/>
          <w:color w:val="33332E"/>
          <w:sz w:val="21"/>
          <w:szCs w:val="21"/>
        </w:rPr>
        <w:t xml:space="preserve">Analyze case examples (UG 3)</w:t>
      </w:r>
    </w:p>
    <w:p>
      <w:pPr>
        <w:pStyle w:val="ListParagraph"/>
        <w:numPr>
          <w:ilvl w:val="0"/>
          <w:numId w:val="2"/>
        </w:numPr>
        <w:spacing w:after="90" w:line="276"/>
      </w:pPr>
      <w:r>
        <w:rPr>
          <w:rFonts w:ascii="Arial" w:cs="Arial" w:eastAsia="Arial" w:hAnsi="Arial"/>
          <w:color w:val="33332E"/>
          <w:sz w:val="21"/>
          <w:szCs w:val="21"/>
        </w:rPr>
        <w:t xml:space="preserve">Recognize multi-causality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Immigration legal aid organizations</w:t>
      </w:r>
    </w:p>
    <w:p>
      <w:pPr>
        <w:pStyle w:val="ListParagraph"/>
        <w:numPr>
          <w:ilvl w:val="0"/>
          <w:numId w:val="2"/>
        </w:numPr>
        <w:spacing w:after="90" w:line="276"/>
      </w:pPr>
      <w:r>
        <w:rPr>
          <w:rFonts w:ascii="Arial" w:cs="Arial" w:eastAsia="Arial" w:hAnsi="Arial"/>
          <w:color w:val="33332E"/>
          <w:sz w:val="21"/>
          <w:szCs w:val="21"/>
        </w:rPr>
        <w:t xml:space="preserve">Refugee resettlement caseworker teams</w:t>
      </w:r>
    </w:p>
    <w:p>
      <w:pPr>
        <w:pStyle w:val="ListParagraph"/>
        <w:numPr>
          <w:ilvl w:val="0"/>
          <w:numId w:val="2"/>
        </w:numPr>
        <w:spacing w:after="90" w:line="276"/>
      </w:pPr>
      <w:r>
        <w:rPr>
          <w:rFonts w:ascii="Arial" w:cs="Arial" w:eastAsia="Arial" w:hAnsi="Arial"/>
          <w:color w:val="33332E"/>
          <w:sz w:val="21"/>
          <w:szCs w:val="21"/>
        </w:rPr>
        <w:t xml:space="preserve">Migrant rights advocacy groups needing background research</w:t>
      </w:r>
    </w:p>
    <w:p>
      <w:pPr>
        <w:pStyle w:val="ListParagraph"/>
        <w:numPr>
          <w:ilvl w:val="0"/>
          <w:numId w:val="2"/>
        </w:numPr>
        <w:spacing w:after="90" w:line="276"/>
      </w:pPr>
      <w:r>
        <w:rPr>
          <w:rFonts w:ascii="Arial" w:cs="Arial" w:eastAsia="Arial" w:hAnsi="Arial"/>
          <w:color w:val="33332E"/>
          <w:sz w:val="21"/>
          <w:szCs w:val="21"/>
        </w:rPr>
        <w:t xml:space="preserve">Public defender or pro-bono asylum support projects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Meet the partner to select 1–2 origin countries or corridors relevant to their caseload.</w:t>
      </w:r>
    </w:p>
    <w:p>
      <w:pPr>
        <w:pStyle w:val="ListParagraph"/>
        <w:numPr>
          <w:ilvl w:val="0"/>
          <w:numId w:val="3"/>
        </w:numPr>
        <w:spacing w:after="90" w:line="276"/>
      </w:pPr>
      <w:r>
        <w:rPr>
          <w:rFonts w:ascii="Arial" w:cs="Arial" w:eastAsia="Arial" w:hAnsi="Arial"/>
          <w:color w:val="33332E"/>
          <w:sz w:val="21"/>
          <w:szCs w:val="21"/>
        </w:rPr>
        <w:t xml:space="preserve">Research economic, political, environmental, and violence-related drivers using credible sources (UNHCR, IOM, World Bank, academic literature, country reports).</w:t>
      </w:r>
    </w:p>
    <w:p>
      <w:pPr>
        <w:pStyle w:val="ListParagraph"/>
        <w:numPr>
          <w:ilvl w:val="0"/>
          <w:numId w:val="3"/>
        </w:numPr>
        <w:spacing w:after="90" w:line="276"/>
      </w:pPr>
      <w:r>
        <w:rPr>
          <w:rFonts w:ascii="Arial" w:cs="Arial" w:eastAsia="Arial" w:hAnsi="Arial"/>
          <w:color w:val="33332E"/>
          <w:sz w:val="21"/>
          <w:szCs w:val="21"/>
        </w:rPr>
        <w:t xml:space="preserve">Build a layered driver map showing how drivers interact (not a simple push/pull list).</w:t>
      </w:r>
    </w:p>
    <w:p>
      <w:pPr>
        <w:pStyle w:val="ListParagraph"/>
        <w:numPr>
          <w:ilvl w:val="0"/>
          <w:numId w:val="3"/>
        </w:numPr>
        <w:spacing w:after="90" w:line="276"/>
      </w:pPr>
      <w:r>
        <w:rPr>
          <w:rFonts w:ascii="Arial" w:cs="Arial" w:eastAsia="Arial" w:hAnsi="Arial"/>
          <w:color w:val="33332E"/>
          <w:sz w:val="21"/>
          <w:szCs w:val="21"/>
        </w:rPr>
        <w:t xml:space="preserve">Have the partner review for accuracy and usefulness; revise.</w:t>
      </w:r>
    </w:p>
    <w:p>
      <w:pPr>
        <w:pStyle w:val="ListParagraph"/>
        <w:numPr>
          <w:ilvl w:val="0"/>
          <w:numId w:val="3"/>
        </w:numPr>
        <w:spacing w:after="90" w:line="276"/>
      </w:pPr>
      <w:r>
        <w:rPr>
          <w:rFonts w:ascii="Arial" w:cs="Arial" w:eastAsia="Arial" w:hAnsi="Arial"/>
          <w:color w:val="33332E"/>
          <w:sz w:val="21"/>
          <w:szCs w:val="21"/>
        </w:rPr>
        <w:t xml:space="preserve">Deliver the summaries in the partner's preferred format and walk staff through them.</w:t>
      </w:r>
    </w:p>
    <w:p>
      <w:pPr>
        <w:pStyle w:val="ListParagraph"/>
        <w:numPr>
          <w:ilvl w:val="0"/>
          <w:numId w:val="3"/>
        </w:numPr>
        <w:spacing w:after="90" w:line="276"/>
      </w:pPr>
      <w:r>
        <w:rPr>
          <w:rFonts w:ascii="Arial" w:cs="Arial" w:eastAsia="Arial" w:hAnsi="Arial"/>
          <w:color w:val="33332E"/>
          <w:sz w:val="21"/>
          <w:szCs w:val="21"/>
        </w:rPr>
        <w:t xml:space="preserve">Write a reflection on how the research changed your understanding of 'why people migrate.'</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Country-conditions/driver summary (partner keeps)</w:t>
      </w:r>
    </w:p>
    <w:p>
      <w:pPr>
        <w:pStyle w:val="ListParagraph"/>
        <w:numPr>
          <w:ilvl w:val="0"/>
          <w:numId w:val="2"/>
        </w:numPr>
        <w:spacing w:after="90" w:line="276"/>
      </w:pPr>
      <w:r>
        <w:rPr>
          <w:rFonts w:ascii="Arial" w:cs="Arial" w:eastAsia="Arial" w:hAnsi="Arial"/>
          <w:color w:val="33332E"/>
          <w:sz w:val="21"/>
          <w:szCs w:val="21"/>
        </w:rPr>
        <w:t xml:space="preserve">Layered driver interaction map (visual)</w:t>
      </w:r>
    </w:p>
    <w:p>
      <w:pPr>
        <w:pStyle w:val="ListParagraph"/>
        <w:numPr>
          <w:ilvl w:val="0"/>
          <w:numId w:val="2"/>
        </w:numPr>
        <w:spacing w:after="90" w:line="276"/>
      </w:pPr>
      <w:r>
        <w:rPr>
          <w:rFonts w:ascii="Arial" w:cs="Arial" w:eastAsia="Arial" w:hAnsi="Arial"/>
          <w:color w:val="33332E"/>
          <w:sz w:val="21"/>
          <w:szCs w:val="21"/>
        </w:rPr>
        <w:t xml:space="preserve">2-page reflection on multi-causality</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Students work from public sources only and never access client files or case details.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Source quality and accuracy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source quality and accuracy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source quality and accuracy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source quality and accuracy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source quality and accuracy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Sophistication of the interaction analysis — beyond push/pull lists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sophistication of the interaction analysis — beyond push/pull lists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sophistication of the interaction analysis — beyond push/pull lists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sophistication of the interaction analysis — beyond push/pull lists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sophistication of the interaction analysis — beyond push/pull lists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Partner usefulness, confirmed by feedback</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partner usefulness, confirmed by feedback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partner usefulness, confirmed by feedback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partner usefulness, confirmed by feedback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partner usefulness, confirmed by feedback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Reflection quality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reflection quality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reflection quality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reflection quality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reflection quality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2026-07-21T19:52:49.292Z</dcterms:created>
  <dcterms:modified xsi:type="dcterms:W3CDTF">2026-07-21T19:52:49.292Z</dcterms:modified>
</cp:coreProperties>
</file>

<file path=docProps/custom.xml><?xml version="1.0" encoding="utf-8"?>
<Properties xmlns="http://schemas.openxmlformats.org/officeDocument/2006/custom-properties" xmlns:vt="http://schemas.openxmlformats.org/officeDocument/2006/docPropsVTypes"/>
</file>