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5: Climate Change and Migration</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Scenario Analysis: Climate Migration Futures for One Region</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Produce a rigorous scenario-planning study of climate-related migration for one region (e.g., the Central American dry corridor, the Sahel, coastal Bangladesh, Pacific island states) and evaluate current policy responses against your scenarios.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Model future climate migration scenarios (Grad 1)</w:t>
      </w:r>
    </w:p>
    <w:p>
      <w:pPr>
        <w:pStyle w:val="ListParagraph"/>
        <w:numPr>
          <w:ilvl w:val="0"/>
          <w:numId w:val="2"/>
        </w:numPr>
        <w:spacing w:after="90" w:line="276"/>
      </w:pPr>
      <w:r>
        <w:rPr>
          <w:rFonts w:ascii="Arial" w:cs="Arial" w:eastAsia="Arial" w:hAnsi="Arial"/>
          <w:color w:val="33332E"/>
          <w:sz w:val="21"/>
          <w:szCs w:val="21"/>
        </w:rPr>
        <w:t xml:space="preserve">Evaluate policy responses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Under plausible climate and adaptation assumptions, what migration futures (internal, cross-border, immobility) does the evidence support for your region?</w:t>
      </w:r>
    </w:p>
    <w:p>
      <w:pPr>
        <w:pStyle w:val="ListParagraph"/>
        <w:numPr>
          <w:ilvl w:val="0"/>
          <w:numId w:val="2"/>
        </w:numPr>
        <w:spacing w:after="90" w:line="276"/>
      </w:pPr>
      <w:r>
        <w:rPr>
          <w:rFonts w:ascii="Arial" w:cs="Arial" w:eastAsia="Arial" w:hAnsi="Arial"/>
          <w:color w:val="33332E"/>
          <w:sz w:val="21"/>
          <w:szCs w:val="21"/>
        </w:rPr>
        <w:t xml:space="preserve">Which existing policy instruments (national adaptation plans, regional free movement, humanitarian visas) hold up across scenarios?</w:t>
      </w:r>
    </w:p>
    <w:p>
      <w:pPr>
        <w:pStyle w:val="ListParagraph"/>
        <w:numPr>
          <w:ilvl w:val="0"/>
          <w:numId w:val="2"/>
        </w:numPr>
        <w:spacing w:after="90" w:line="276"/>
      </w:pPr>
      <w:r>
        <w:rPr>
          <w:rFonts w:ascii="Arial" w:cs="Arial" w:eastAsia="Arial" w:hAnsi="Arial"/>
          <w:color w:val="33332E"/>
          <w:sz w:val="21"/>
          <w:szCs w:val="21"/>
        </w:rPr>
        <w:t xml:space="preserve">Where are the legal protection gaps most acute in each scenario?</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Structured scenario method: define 2 critical uncertainties, build 3–4 scenarios grounded in IPCC, Groundswell, and IOM/UNHCR data, then stress-test at least three policy responses across them. Distinguish projection from speculation explicitly.</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 published data and literature only.</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4,500-word scenario report with a scenario matrix figure</w:t>
      </w:r>
    </w:p>
    <w:p>
      <w:pPr>
        <w:pStyle w:val="ListParagraph"/>
        <w:numPr>
          <w:ilvl w:val="0"/>
          <w:numId w:val="2"/>
        </w:numPr>
        <w:spacing w:after="90" w:line="276"/>
      </w:pPr>
      <w:r>
        <w:rPr>
          <w:rFonts w:ascii="Arial" w:cs="Arial" w:eastAsia="Arial" w:hAnsi="Arial"/>
          <w:color w:val="33332E"/>
          <w:sz w:val="21"/>
          <w:szCs w:val="21"/>
        </w:rPr>
        <w:t xml:space="preserve">Policy stress-test table and briefing-note summary (1 page)</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Evidentiary grounding of scenarios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evidentiary grounding of scenarios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evidentiary grounding of scenarios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evidentiary grounding of scenarios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evidentiary grounding of scenarios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Methodological transparency — assumptions stated</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methodological transparency — assumptions stated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methodological transparency — assumptions stated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methodological transparency — assumptions stated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methodological transparency — assumptions stated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policy stress-test</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policy stress-test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policy stress-test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policy stress-test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policy stress-test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Communication and figures</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communication and figures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communication and figures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communication and figures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communication and figures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5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5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2026-07-21T19:52:49.325Z</dcterms:created>
  <dcterms:modified xsi:type="dcterms:W3CDTF">2026-07-21T19:52:49.325Z</dcterms:modified>
</cp:coreProperties>
</file>

<file path=docProps/custom.xml><?xml version="1.0" encoding="utf-8"?>
<Properties xmlns="http://schemas.openxmlformats.org/officeDocument/2006/custom-properties" xmlns:vt="http://schemas.openxmlformats.org/officeDocument/2006/docPropsVTypes"/>
</file>