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5: Climate Change and Migration</w:t>
      </w:r>
    </w:p>
    <w:p>
      <w:pPr>
        <w:spacing w:after="60"/>
      </w:pPr>
      <w:r>
        <w:rPr>
          <w:rFonts w:ascii="Arial" w:cs="Arial" w:eastAsia="Arial" w:hAnsi="Arial"/>
          <w:b/>
          <w:bCs/>
          <w:color w:val="175A82"/>
          <w:sz w:val="22"/>
          <w:szCs w:val="22"/>
        </w:rPr>
        <w:t xml:space="preserve">Service Learning Project</w:t>
      </w:r>
    </w:p>
    <w:p>
      <w:pPr>
        <w:pBdr>
          <w:bottom w:val="single" w:color="E7F2F9" w:sz="6" w:space="6"/>
        </w:pBdr>
        <w:spacing w:after="220"/>
      </w:pPr>
      <w:r>
        <w:rPr>
          <w:rFonts w:ascii="Arial" w:cs="Arial" w:eastAsia="Arial" w:hAnsi="Arial"/>
          <w:b/>
          <w:bCs/>
          <w:i/>
          <w:iCs/>
          <w:color w:val="33332E"/>
          <w:sz w:val="25"/>
          <w:szCs w:val="25"/>
        </w:rPr>
        <w:t xml:space="preserve">Climate Resilience Outreach with a Frontline Community Organization</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Work with an environmental justice or emergency-preparedness organization serving immigrant communities to co-create climate-displacement education or resilience resources.</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Describe climate migration to a public audience (UG 1)</w:t>
      </w:r>
    </w:p>
    <w:p>
      <w:pPr>
        <w:pStyle w:val="ListParagraph"/>
        <w:numPr>
          <w:ilvl w:val="0"/>
          <w:numId w:val="2"/>
        </w:numPr>
        <w:spacing w:after="90" w:line="276"/>
      </w:pPr>
      <w:r>
        <w:rPr>
          <w:rFonts w:ascii="Arial" w:cs="Arial" w:eastAsia="Arial" w:hAnsi="Arial"/>
          <w:color w:val="33332E"/>
          <w:sz w:val="21"/>
          <w:szCs w:val="21"/>
        </w:rPr>
        <w:t xml:space="preserve">Identify causes of climate displacement (UG 2)</w:t>
      </w:r>
    </w:p>
    <w:p>
      <w:pPr>
        <w:pStyle w:val="ListParagraph"/>
        <w:numPr>
          <w:ilvl w:val="0"/>
          <w:numId w:val="2"/>
        </w:numPr>
        <w:spacing w:after="90" w:line="276"/>
      </w:pPr>
      <w:r>
        <w:rPr>
          <w:rFonts w:ascii="Arial" w:cs="Arial" w:eastAsia="Arial" w:hAnsi="Arial"/>
          <w:color w:val="33332E"/>
          <w:sz w:val="21"/>
          <w:szCs w:val="21"/>
        </w:rPr>
        <w:t xml:space="preserve">Explain legal gaps in plain language (UG 3)</w:t>
      </w:r>
    </w:p>
    <w:p>
      <w:pPr>
        <w:pStyle w:val="ListParagraph"/>
        <w:numPr>
          <w:ilvl w:val="0"/>
          <w:numId w:val="2"/>
        </w:numPr>
        <w:spacing w:after="90" w:line="276"/>
      </w:pPr>
      <w:r>
        <w:rPr>
          <w:rFonts w:ascii="Arial" w:cs="Arial" w:eastAsia="Arial" w:hAnsi="Arial"/>
          <w:color w:val="33332E"/>
          <w:sz w:val="21"/>
          <w:szCs w:val="21"/>
        </w:rPr>
        <w:t xml:space="preserve">Recognize global-to-local impact (UG 4)</w:t>
      </w:r>
    </w:p>
    <w:p>
      <w:pPr>
        <w:pStyle w:val="Heading2"/>
        <w:spacing w:after="120" w:before="260"/>
      </w:pPr>
      <w:r>
        <w:rPr>
          <w:rFonts w:ascii="Arial" w:cs="Arial" w:eastAsia="Arial" w:hAnsi="Arial"/>
          <w:b/>
          <w:bCs/>
          <w:color w:val="175A82"/>
          <w:sz w:val="24"/>
          <w:szCs w:val="24"/>
        </w:rPr>
        <w:t xml:space="preserve">Suggested community partners</w:t>
      </w:r>
    </w:p>
    <w:p>
      <w:pPr>
        <w:pStyle w:val="ListParagraph"/>
        <w:numPr>
          <w:ilvl w:val="0"/>
          <w:numId w:val="2"/>
        </w:numPr>
        <w:spacing w:after="90" w:line="276"/>
      </w:pPr>
      <w:r>
        <w:rPr>
          <w:rFonts w:ascii="Arial" w:cs="Arial" w:eastAsia="Arial" w:hAnsi="Arial"/>
          <w:color w:val="33332E"/>
          <w:sz w:val="21"/>
          <w:szCs w:val="21"/>
        </w:rPr>
        <w:t xml:space="preserve">Environmental justice coalitions in immigrant neighborhoods</w:t>
      </w:r>
    </w:p>
    <w:p>
      <w:pPr>
        <w:pStyle w:val="ListParagraph"/>
        <w:numPr>
          <w:ilvl w:val="0"/>
          <w:numId w:val="2"/>
        </w:numPr>
        <w:spacing w:after="90" w:line="276"/>
      </w:pPr>
      <w:r>
        <w:rPr>
          <w:rFonts w:ascii="Arial" w:cs="Arial" w:eastAsia="Arial" w:hAnsi="Arial"/>
          <w:color w:val="33332E"/>
          <w:sz w:val="21"/>
          <w:szCs w:val="21"/>
        </w:rPr>
        <w:t xml:space="preserve">County emergency management outreach programs</w:t>
      </w:r>
    </w:p>
    <w:p>
      <w:pPr>
        <w:pStyle w:val="ListParagraph"/>
        <w:numPr>
          <w:ilvl w:val="0"/>
          <w:numId w:val="2"/>
        </w:numPr>
        <w:spacing w:after="90" w:line="276"/>
      </w:pPr>
      <w:r>
        <w:rPr>
          <w:rFonts w:ascii="Arial" w:cs="Arial" w:eastAsia="Arial" w:hAnsi="Arial"/>
          <w:color w:val="33332E"/>
          <w:sz w:val="21"/>
          <w:szCs w:val="21"/>
        </w:rPr>
        <w:t xml:space="preserve">Community gardens or food-security groups serving newcomers</w:t>
      </w:r>
    </w:p>
    <w:p>
      <w:pPr>
        <w:pStyle w:val="ListParagraph"/>
        <w:numPr>
          <w:ilvl w:val="0"/>
          <w:numId w:val="2"/>
        </w:numPr>
        <w:spacing w:after="90" w:line="276"/>
      </w:pPr>
      <w:r>
        <w:rPr>
          <w:rFonts w:ascii="Arial" w:cs="Arial" w:eastAsia="Arial" w:hAnsi="Arial"/>
          <w:color w:val="33332E"/>
          <w:sz w:val="21"/>
          <w:szCs w:val="21"/>
        </w:rPr>
        <w:t xml:space="preserve">Faith or civic groups running disaster-preparedness workshops</w:t>
      </w:r>
    </w:p>
    <w:p>
      <w:pPr>
        <w:pStyle w:val="Heading2"/>
        <w:spacing w:after="120" w:before="260"/>
      </w:pPr>
      <w:r>
        <w:rPr>
          <w:rFonts w:ascii="Arial" w:cs="Arial" w:eastAsia="Arial" w:hAnsi="Arial"/>
          <w:b/>
          <w:bCs/>
          <w:color w:val="175A82"/>
          <w:sz w:val="24"/>
          <w:szCs w:val="24"/>
        </w:rPr>
        <w:t xml:space="preserve">Project steps</w:t>
      </w:r>
    </w:p>
    <w:p>
      <w:pPr>
        <w:pStyle w:val="ListParagraph"/>
        <w:numPr>
          <w:ilvl w:val="0"/>
          <w:numId w:val="3"/>
        </w:numPr>
        <w:spacing w:after="90" w:line="276"/>
      </w:pPr>
      <w:r>
        <w:rPr>
          <w:rFonts w:ascii="Arial" w:cs="Arial" w:eastAsia="Arial" w:hAnsi="Arial"/>
          <w:color w:val="33332E"/>
          <w:sz w:val="21"/>
          <w:szCs w:val="21"/>
        </w:rPr>
        <w:t xml:space="preserve">Learn the partner's community context: which climate risks (heat, flood, storm) touch the neighborhoods they serve.</w:t>
      </w:r>
    </w:p>
    <w:p>
      <w:pPr>
        <w:pStyle w:val="ListParagraph"/>
        <w:numPr>
          <w:ilvl w:val="0"/>
          <w:numId w:val="3"/>
        </w:numPr>
        <w:spacing w:after="90" w:line="276"/>
      </w:pPr>
      <w:r>
        <w:rPr>
          <w:rFonts w:ascii="Arial" w:cs="Arial" w:eastAsia="Arial" w:hAnsi="Arial"/>
          <w:color w:val="33332E"/>
          <w:sz w:val="21"/>
          <w:szCs w:val="21"/>
        </w:rPr>
        <w:t xml:space="preserve">Research the connection between global climate displacement and the local community's own migration stories and current risks.</w:t>
      </w:r>
    </w:p>
    <w:p>
      <w:pPr>
        <w:pStyle w:val="ListParagraph"/>
        <w:numPr>
          <w:ilvl w:val="0"/>
          <w:numId w:val="3"/>
        </w:numPr>
        <w:spacing w:after="90" w:line="276"/>
      </w:pPr>
      <w:r>
        <w:rPr>
          <w:rFonts w:ascii="Arial" w:cs="Arial" w:eastAsia="Arial" w:hAnsi="Arial"/>
          <w:color w:val="33332E"/>
          <w:sz w:val="21"/>
          <w:szCs w:val="21"/>
        </w:rPr>
        <w:t xml:space="preserve">Co-design a resource with the partner: multilingual fact sheet, workshop segment, or preparedness guide.</w:t>
      </w:r>
    </w:p>
    <w:p>
      <w:pPr>
        <w:pStyle w:val="ListParagraph"/>
        <w:numPr>
          <w:ilvl w:val="0"/>
          <w:numId w:val="3"/>
        </w:numPr>
        <w:spacing w:after="90" w:line="276"/>
      </w:pPr>
      <w:r>
        <w:rPr>
          <w:rFonts w:ascii="Arial" w:cs="Arial" w:eastAsia="Arial" w:hAnsi="Arial"/>
          <w:color w:val="33332E"/>
          <w:sz w:val="21"/>
          <w:szCs w:val="21"/>
        </w:rPr>
        <w:t xml:space="preserve">Address the legal-gap question honestly: what protection exists (and doesn't) for people displaced by climate.</w:t>
      </w:r>
    </w:p>
    <w:p>
      <w:pPr>
        <w:pStyle w:val="ListParagraph"/>
        <w:numPr>
          <w:ilvl w:val="0"/>
          <w:numId w:val="3"/>
        </w:numPr>
        <w:spacing w:after="90" w:line="276"/>
      </w:pPr>
      <w:r>
        <w:rPr>
          <w:rFonts w:ascii="Arial" w:cs="Arial" w:eastAsia="Arial" w:hAnsi="Arial"/>
          <w:color w:val="33332E"/>
          <w:sz w:val="21"/>
          <w:szCs w:val="21"/>
        </w:rPr>
        <w:t xml:space="preserve">Deliver or present the resource at a partner event.</w:t>
      </w:r>
    </w:p>
    <w:p>
      <w:pPr>
        <w:pStyle w:val="ListParagraph"/>
        <w:numPr>
          <w:ilvl w:val="0"/>
          <w:numId w:val="3"/>
        </w:numPr>
        <w:spacing w:after="90" w:line="276"/>
      </w:pPr>
      <w:r>
        <w:rPr>
          <w:rFonts w:ascii="Arial" w:cs="Arial" w:eastAsia="Arial" w:hAnsi="Arial"/>
          <w:color w:val="33332E"/>
          <w:sz w:val="21"/>
          <w:szCs w:val="21"/>
        </w:rPr>
        <w:t xml:space="preserve">Write a reflection connecting module frameworks (slow vs. rapid onset, environmental justice) to what you observed locally.</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Co-created community resource (partner keeps)</w:t>
      </w:r>
    </w:p>
    <w:p>
      <w:pPr>
        <w:pStyle w:val="ListParagraph"/>
        <w:numPr>
          <w:ilvl w:val="0"/>
          <w:numId w:val="2"/>
        </w:numPr>
        <w:spacing w:after="90" w:line="276"/>
      </w:pPr>
      <w:r>
        <w:rPr>
          <w:rFonts w:ascii="Arial" w:cs="Arial" w:eastAsia="Arial" w:hAnsi="Arial"/>
          <w:color w:val="33332E"/>
          <w:sz w:val="21"/>
          <w:szCs w:val="21"/>
        </w:rPr>
        <w:t xml:space="preserve">Presentation or workshop participation</w:t>
      </w:r>
    </w:p>
    <w:p>
      <w:pPr>
        <w:pStyle w:val="ListParagraph"/>
        <w:numPr>
          <w:ilvl w:val="0"/>
          <w:numId w:val="2"/>
        </w:numPr>
        <w:spacing w:after="90" w:line="276"/>
      </w:pPr>
      <w:r>
        <w:rPr>
          <w:rFonts w:ascii="Arial" w:cs="Arial" w:eastAsia="Arial" w:hAnsi="Arial"/>
          <w:color w:val="33332E"/>
          <w:sz w:val="21"/>
          <w:szCs w:val="21"/>
        </w:rPr>
        <w:t xml:space="preserve">2–3 page reflection</w:t>
      </w:r>
    </w:p>
    <w:p>
      <w:pPr>
        <w:pStyle w:val="Heading2"/>
        <w:spacing w:after="120" w:before="260"/>
      </w:pPr>
      <w:r>
        <w:rPr>
          <w:rFonts w:ascii="Arial" w:cs="Arial" w:eastAsia="Arial" w:hAnsi="Arial"/>
          <w:b/>
          <w:bCs/>
          <w:color w:val="175A82"/>
          <w:sz w:val="24"/>
          <w:szCs w:val="24"/>
        </w:rPr>
        <w:t xml:space="preserve">Time commitment</w:t>
      </w:r>
    </w:p>
    <w:p>
      <w:pPr>
        <w:spacing w:after="160" w:line="276"/>
      </w:pPr>
      <w:r>
        <w:rPr>
          <w:rFonts w:ascii="Arial" w:cs="Arial" w:eastAsia="Arial" w:hAnsi="Arial"/>
          <w:color w:val="33332E"/>
          <w:sz w:val="21"/>
          <w:szCs w:val="21"/>
        </w:rPr>
        <w:t xml:space="preserve">14–16 hours.</w:t>
      </w:r>
    </w:p>
    <w:p>
      <w:pPr>
        <w:pStyle w:val="Heading2"/>
        <w:spacing w:after="120" w:before="260"/>
      </w:pPr>
      <w:r>
        <w:rPr>
          <w:rFonts w:ascii="Arial" w:cs="Arial" w:eastAsia="Arial" w:hAnsi="Arial"/>
          <w:b/>
          <w:bCs/>
          <w:color w:val="175A82"/>
          <w:sz w:val="24"/>
          <w:szCs w:val="24"/>
        </w:rPr>
        <w:t xml:space="preserve">Ethics requirements</w:t>
      </w:r>
    </w:p>
    <w:p>
      <w:pPr>
        <w:spacing w:after="160" w:line="276"/>
      </w:pPr>
      <w:r>
        <w:rPr>
          <w:rFonts w:ascii="Arial" w:cs="Arial" w:eastAsia="Arial" w:hAnsi="Arial"/>
          <w:color w:val="33332E"/>
          <w:sz w:val="21"/>
          <w:szCs w:val="21"/>
        </w:rPr>
        <w:t xml:space="preserve">Avoid alarmism; materials are reviewed by the partner before community use.</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Scientific and legal accuracy</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scientific and legal accuracy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scientific and legal accuracy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scientific and legal accuracy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scientific and legal accuracy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Genuine co-design with the partner, not for them</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genuinely shared: genuine co-design with the partner, not for them is fully realized — partner and community voices shaped key decisions, their priorities are visible in the result, and their contribution is credited.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real: genuine co-design with the partner, not for them is achieved — the partner reviewed and influenced the work, though some decisions stayed one-sided.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thin: genuine co-design with the partner, not for them is claimed more than practiced; the partner was consulted late or superficially, and the result reflects the student's assumptions.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absent: genuine co-design with the partner, not for them did not occur; the work was done about or for the community rather than with it.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Accessibility of the final resource</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excellent: accessibility of the final resource is met at a standard the partner or audience can use immediately — complete, accurate, well-organized, and genuinely useful.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good: accessibility of the final resource is met; it is usable with minor revisions and its purpose is clearly served.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incomplete: accessibility of the final resource is only partly met — gaps, errors, or unclear organization mean substantial revision is needed before it could be used.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inadequate: accessibility of the final resource is not met; the product is unusable, inaccurate, or missing major required elements.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Reflection quality</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genuinely self-examining: reflection quality shows specific assumptions confronted with evidence, real change or evidenced confirmation, and questions that extend beyond the assignment.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substantive: reflection quality shows honest engagement with the student's own thinking, supported by course material, with occasional generality.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surface-level: reflection quality is attempted but stays safe or generic — conclusions asserted rather than examined, little connection to evidence.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performative or missing: reflection quality shows no genuine self-examination or contradicts the evidence presented.</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5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5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2026-07-21T19:52:49.313Z</dcterms:created>
  <dcterms:modified xsi:type="dcterms:W3CDTF">2026-07-21T19:52:49.313Z</dcterms:modified>
</cp:coreProperties>
</file>

<file path=docProps/custom.xml><?xml version="1.0" encoding="utf-8"?>
<Properties xmlns="http://schemas.openxmlformats.org/officeDocument/2006/custom-properties" xmlns:vt="http://schemas.openxmlformats.org/officeDocument/2006/docPropsVTypes"/>
</file>