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5: Climate Change and Migration</w:t>
      </w:r>
    </w:p>
    <w:p>
      <w:pPr>
        <w:pBdr>
          <w:bottom w:val="single" w:color="E7F2F9" w:sz="6" w:space="6"/>
        </w:pBdr>
        <w:spacing w:after="220"/>
      </w:pPr>
      <w:r>
        <w:rPr>
          <w:rFonts w:ascii="Arial" w:cs="Arial" w:eastAsia="Arial" w:hAnsi="Arial"/>
          <w:b/>
          <w:bCs/>
          <w:color w:val="175A82"/>
          <w:sz w:val="22"/>
          <w:szCs w:val="22"/>
        </w:rPr>
        <w:t xml:space="preserve">Signature Learning Experience</w:t>
      </w:r>
    </w:p>
    <w:p>
      <w:pPr>
        <w:pStyle w:val="Heading2"/>
        <w:spacing w:after="120" w:before="260"/>
      </w:pPr>
      <w:r>
        <w:rPr>
          <w:rFonts w:ascii="Arial" w:cs="Arial" w:eastAsia="Arial" w:hAnsi="Arial"/>
          <w:b/>
          <w:bCs/>
          <w:color w:val="175A82"/>
          <w:sz w:val="24"/>
          <w:szCs w:val="24"/>
        </w:rPr>
        <w:t xml:space="preserve">Purpose</w:t>
      </w:r>
    </w:p>
    <w:p>
      <w:pPr>
        <w:spacing w:after="160" w:line="276"/>
      </w:pPr>
      <w:r>
        <w:rPr>
          <w:rFonts w:ascii="Arial" w:cs="Arial" w:eastAsia="Arial" w:hAnsi="Arial"/>
          <w:color w:val="33332E"/>
          <w:sz w:val="21"/>
          <w:szCs w:val="21"/>
        </w:rPr>
        <w:t xml:space="preserve">Climate migration is a future-facing problem, so this assignment teaches a future-facing method: structured scenario planning. Teams build plausible scenarios for climate-related migration in one region and stress-test current policy against them — learning to reason under uncertainty without sliding into either denial or doom.</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Describe climate migration dynamics for a specific region (UG 1)</w:t>
      </w:r>
    </w:p>
    <w:p>
      <w:pPr>
        <w:pStyle w:val="ListParagraph"/>
        <w:numPr>
          <w:ilvl w:val="0"/>
          <w:numId w:val="2"/>
        </w:numPr>
        <w:spacing w:after="90" w:line="276"/>
      </w:pPr>
      <w:r>
        <w:rPr>
          <w:rFonts w:ascii="Arial" w:cs="Arial" w:eastAsia="Arial" w:hAnsi="Arial"/>
          <w:color w:val="33332E"/>
          <w:sz w:val="21"/>
          <w:szCs w:val="21"/>
        </w:rPr>
        <w:t xml:space="preserve">Identify causes distinguishing slow-onset and rapid-onset displacement (UG 2)</w:t>
      </w:r>
    </w:p>
    <w:p>
      <w:pPr>
        <w:pStyle w:val="ListParagraph"/>
        <w:numPr>
          <w:ilvl w:val="0"/>
          <w:numId w:val="2"/>
        </w:numPr>
        <w:spacing w:after="90" w:line="276"/>
      </w:pPr>
      <w:r>
        <w:rPr>
          <w:rFonts w:ascii="Arial" w:cs="Arial" w:eastAsia="Arial" w:hAnsi="Arial"/>
          <w:color w:val="33332E"/>
          <w:sz w:val="21"/>
          <w:szCs w:val="21"/>
        </w:rPr>
        <w:t xml:space="preserve">Explain the legal gaps facing people displaced by climate (UG 3)</w:t>
      </w:r>
    </w:p>
    <w:p>
      <w:pPr>
        <w:pStyle w:val="ListParagraph"/>
        <w:numPr>
          <w:ilvl w:val="0"/>
          <w:numId w:val="2"/>
        </w:numPr>
        <w:spacing w:after="90" w:line="276"/>
      </w:pPr>
      <w:r>
        <w:rPr>
          <w:rFonts w:ascii="Arial" w:cs="Arial" w:eastAsia="Arial" w:hAnsi="Arial"/>
          <w:color w:val="33332E"/>
          <w:sz w:val="21"/>
          <w:szCs w:val="21"/>
        </w:rPr>
        <w:t xml:space="preserve">Recognize global impacts through concrete regional analysis (UG 4)</w:t>
      </w:r>
    </w:p>
    <w:p>
      <w:pPr>
        <w:pStyle w:val="Heading2"/>
        <w:spacing w:after="120" w:before="260"/>
      </w:pPr>
      <w:r>
        <w:rPr>
          <w:rFonts w:ascii="Arial" w:cs="Arial" w:eastAsia="Arial" w:hAnsi="Arial"/>
          <w:b/>
          <w:bCs/>
          <w:color w:val="175A82"/>
          <w:sz w:val="24"/>
          <w:szCs w:val="24"/>
        </w:rPr>
        <w:t xml:space="preserve">Graduate extension</w:t>
      </w:r>
    </w:p>
    <w:p>
      <w:pPr>
        <w:spacing w:after="160" w:line="276"/>
      </w:pPr>
      <w:r>
        <w:rPr>
          <w:rFonts w:ascii="Arial" w:cs="Arial" w:eastAsia="Arial" w:hAnsi="Arial"/>
          <w:color w:val="33332E"/>
          <w:sz w:val="21"/>
          <w:szCs w:val="21"/>
        </w:rPr>
        <w:t xml:space="preserve">Graduate students build the scenario matrix formally (two critical uncertainties, four scenarios), ground each scenario in published projections (IPCC, Groundswell), and write the policy stress-test as a standalone briefing note (Grad 1–2).</w:t>
      </w:r>
    </w:p>
    <w:p>
      <w:pPr>
        <w:pStyle w:val="Heading2"/>
        <w:spacing w:after="120" w:before="260"/>
      </w:pPr>
      <w:r>
        <w:rPr>
          <w:rFonts w:ascii="Arial" w:cs="Arial" w:eastAsia="Arial" w:hAnsi="Arial"/>
          <w:b/>
          <w:bCs/>
          <w:color w:val="175A82"/>
          <w:sz w:val="24"/>
          <w:szCs w:val="24"/>
        </w:rPr>
        <w:t xml:space="preserve">Assignment steps</w:t>
      </w:r>
    </w:p>
    <w:p>
      <w:pPr>
        <w:pStyle w:val="ListParagraph"/>
        <w:numPr>
          <w:ilvl w:val="0"/>
          <w:numId w:val="3"/>
        </w:numPr>
        <w:spacing w:after="90" w:line="276"/>
      </w:pPr>
      <w:r>
        <w:rPr>
          <w:rFonts w:ascii="Arial" w:cs="Arial" w:eastAsia="Arial" w:hAnsi="Arial"/>
          <w:color w:val="33332E"/>
          <w:sz w:val="21"/>
          <w:szCs w:val="21"/>
        </w:rPr>
        <w:t xml:space="preserve">In teams of 3–4, choose a region: Central American dry corridor, Sahel, coastal Bangladesh, Pacific island states, or a US region (Gulf Coast, Southwest heat belt).</w:t>
      </w:r>
    </w:p>
    <w:p>
      <w:pPr>
        <w:pStyle w:val="ListParagraph"/>
        <w:numPr>
          <w:ilvl w:val="0"/>
          <w:numId w:val="3"/>
        </w:numPr>
        <w:spacing w:after="90" w:line="276"/>
      </w:pPr>
      <w:r>
        <w:rPr>
          <w:rFonts w:ascii="Arial" w:cs="Arial" w:eastAsia="Arial" w:hAnsi="Arial"/>
          <w:color w:val="33332E"/>
          <w:sz w:val="21"/>
          <w:szCs w:val="21"/>
        </w:rPr>
        <w:t xml:space="preserve">Research the region's climate exposure, current mobility patterns, and adaptation capacity using IPCC summaries, the World Bank Groundswell report, and IOM/UNHCR sources.</w:t>
      </w:r>
    </w:p>
    <w:p>
      <w:pPr>
        <w:pStyle w:val="ListParagraph"/>
        <w:numPr>
          <w:ilvl w:val="0"/>
          <w:numId w:val="3"/>
        </w:numPr>
        <w:spacing w:after="90" w:line="276"/>
      </w:pPr>
      <w:r>
        <w:rPr>
          <w:rFonts w:ascii="Arial" w:cs="Arial" w:eastAsia="Arial" w:hAnsi="Arial"/>
          <w:color w:val="33332E"/>
          <w:sz w:val="21"/>
          <w:szCs w:val="21"/>
        </w:rPr>
        <w:t xml:space="preserve">Identify the two most consequential uncertainties (e.g., pace of warming, adaptation investment) and sketch 3–4 distinct, plausible scenarios — label clearly what is projection and what is reasoned speculation.</w:t>
      </w:r>
    </w:p>
    <w:p>
      <w:pPr>
        <w:pStyle w:val="ListParagraph"/>
        <w:numPr>
          <w:ilvl w:val="0"/>
          <w:numId w:val="3"/>
        </w:numPr>
        <w:spacing w:after="90" w:line="276"/>
      </w:pPr>
      <w:r>
        <w:rPr>
          <w:rFonts w:ascii="Arial" w:cs="Arial" w:eastAsia="Arial" w:hAnsi="Arial"/>
          <w:color w:val="33332E"/>
          <w:sz w:val="21"/>
          <w:szCs w:val="21"/>
        </w:rPr>
        <w:t xml:space="preserve">For each scenario, describe the mobility outcome: who moves, where, when — and who cannot move (immobility is an outcome too).</w:t>
      </w:r>
    </w:p>
    <w:p>
      <w:pPr>
        <w:pStyle w:val="ListParagraph"/>
        <w:numPr>
          <w:ilvl w:val="0"/>
          <w:numId w:val="3"/>
        </w:numPr>
        <w:spacing w:after="90" w:line="276"/>
      </w:pPr>
      <w:r>
        <w:rPr>
          <w:rFonts w:ascii="Arial" w:cs="Arial" w:eastAsia="Arial" w:hAnsi="Arial"/>
          <w:color w:val="33332E"/>
          <w:sz w:val="21"/>
          <w:szCs w:val="21"/>
        </w:rPr>
        <w:t xml:space="preserve">Stress-test at least two existing policy instruments against each scenario: where do they hold, where do they fail, what legal gap is exposed?</w:t>
      </w:r>
    </w:p>
    <w:p>
      <w:pPr>
        <w:pStyle w:val="ListParagraph"/>
        <w:numPr>
          <w:ilvl w:val="0"/>
          <w:numId w:val="3"/>
        </w:numPr>
        <w:spacing w:after="90" w:line="276"/>
      </w:pPr>
      <w:r>
        <w:rPr>
          <w:rFonts w:ascii="Arial" w:cs="Arial" w:eastAsia="Arial" w:hAnsi="Arial"/>
          <w:color w:val="33332E"/>
          <w:sz w:val="21"/>
          <w:szCs w:val="21"/>
        </w:rPr>
        <w:t xml:space="preserve">Present the scenarios as a team; submit the written exercise individually.</w:t>
      </w:r>
    </w:p>
    <w:p>
      <w:pPr>
        <w:pStyle w:val="Heading2"/>
        <w:spacing w:after="120" w:before="260"/>
      </w:pPr>
      <w:r>
        <w:rPr>
          <w:rFonts w:ascii="Arial" w:cs="Arial" w:eastAsia="Arial" w:hAnsi="Arial"/>
          <w:b/>
          <w:bCs/>
          <w:color w:val="175A82"/>
          <w:sz w:val="24"/>
          <w:szCs w:val="24"/>
        </w:rPr>
        <w:t xml:space="preserve">Deliverables &amp; format</w:t>
      </w:r>
    </w:p>
    <w:p>
      <w:pPr>
        <w:pStyle w:val="ListParagraph"/>
        <w:numPr>
          <w:ilvl w:val="0"/>
          <w:numId w:val="2"/>
        </w:numPr>
        <w:spacing w:after="90" w:line="276"/>
      </w:pPr>
      <w:r>
        <w:rPr>
          <w:rFonts w:ascii="Arial" w:cs="Arial" w:eastAsia="Arial" w:hAnsi="Arial"/>
          <w:color w:val="33332E"/>
          <w:sz w:val="21"/>
          <w:szCs w:val="21"/>
        </w:rPr>
        <w:t xml:space="preserve">Team scenario presentation (10 minutes) with a one-page scenario matrix handout</w:t>
      </w:r>
    </w:p>
    <w:p>
      <w:pPr>
        <w:pStyle w:val="ListParagraph"/>
        <w:numPr>
          <w:ilvl w:val="0"/>
          <w:numId w:val="2"/>
        </w:numPr>
        <w:spacing w:after="90" w:line="276"/>
      </w:pPr>
      <w:r>
        <w:rPr>
          <w:rFonts w:ascii="Arial" w:cs="Arial" w:eastAsia="Arial" w:hAnsi="Arial"/>
          <w:color w:val="33332E"/>
          <w:sz w:val="21"/>
          <w:szCs w:val="21"/>
        </w:rPr>
        <w:t xml:space="preserve">Individual written analysis, 1,200–1,500 words, covering one scenario in depth and the policy stress-test (graduate: full briefing-note format, 2,000+)</w:t>
      </w:r>
    </w:p>
    <w:p>
      <w:pPr>
        <w:pStyle w:val="ListParagraph"/>
        <w:numPr>
          <w:ilvl w:val="0"/>
          <w:numId w:val="2"/>
        </w:numPr>
        <w:spacing w:after="90" w:line="276"/>
      </w:pPr>
      <w:r>
        <w:rPr>
          <w:rFonts w:ascii="Arial" w:cs="Arial" w:eastAsia="Arial" w:hAnsi="Arial"/>
          <w:color w:val="33332E"/>
          <w:sz w:val="21"/>
          <w:szCs w:val="21"/>
        </w:rPr>
        <w:t xml:space="preserve">Source list distinguishing data, projection, and informed speculation</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Evidentiary grounding — projections traced to sources</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evidentiary grounding — projections traced to sources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evidentiary grounding — projections traced to sources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evidentiary grounding — projections traced to sources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evidentiary grounding — projections traced to sources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Plausibility and distinctness of scenarios</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rigorous and transparent: plausibility and distinctness of scenarios is fully documented, choices are justified, limitations are stated, and another student could replicate the work from what is written.</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sound: plausibility and distinctness of scenarios is documented and mostly justified, with limitations acknowledged; small gaps would not change the findings.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partial: plausibility and distinctness of scenarios is described but under-documented or inconsistently applied, leaving findings plausible but not checkable.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absent or unsound: plausibility and distinctness of scenarios is missing, undocumented, or applied so loosely that the findings cannot be trusted.</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Quality of the policy stress-test and legal-gap analysis</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quality of the policy stress-test and legal-gap analysis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quality of the policy stress-test and legal-gap analysis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quality of the policy stress-test and legal-gap analysis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quality of the policy stress-test and legal-gap analysis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Team presentation and individual writing</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publication-ready: team presentation and individual writing is achieved with precise, well-organized prose, correct citation, and figures or formats that make the argument easier to grasp.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clear and professional: team presentation and individual writing is achieved with minor lapses in polish, organization, or citation that never obscure meaning.</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understandable but rough: team presentation and individual writing is only partly achieved — disorganization, citation errors, or unclear figures make the reader work to follow the argument.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impedes the work: team presentation and individual writing is not achieved; errors, disorganization, or missing citations obscure the substance.</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5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5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2026-07-21T19:52:49.306Z</dcterms:created>
  <dcterms:modified xsi:type="dcterms:W3CDTF">2026-07-21T19:52:49.306Z</dcterms:modified>
</cp:coreProperties>
</file>

<file path=docProps/custom.xml><?xml version="1.0" encoding="utf-8"?>
<Properties xmlns="http://schemas.openxmlformats.org/officeDocument/2006/custom-properties" xmlns:vt="http://schemas.openxmlformats.org/officeDocument/2006/docPropsVTypes"/>
</file>