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6: Refugees, Asylum, and Forced Displacement</w:t>
      </w:r>
    </w:p>
    <w:p>
      <w:pPr>
        <w:spacing w:after="60"/>
      </w:pPr>
      <w:r>
        <w:rPr>
          <w:rFonts w:ascii="Arial" w:cs="Arial" w:eastAsia="Arial" w:hAnsi="Arial"/>
          <w:b/>
          <w:bCs/>
          <w:color w:val="175A82"/>
          <w:sz w:val="22"/>
          <w:szCs w:val="22"/>
        </w:rPr>
        <w:t xml:space="preserve">Graduate Research Project</w:t>
      </w:r>
    </w:p>
    <w:p>
      <w:pPr>
        <w:pBdr>
          <w:bottom w:val="single" w:color="E7F2F9" w:sz="6" w:space="6"/>
        </w:pBdr>
        <w:spacing w:after="220"/>
      </w:pPr>
      <w:r>
        <w:rPr>
          <w:rFonts w:ascii="Arial" w:cs="Arial" w:eastAsia="Arial" w:hAnsi="Arial"/>
          <w:b/>
          <w:bCs/>
          <w:i/>
          <w:iCs/>
          <w:color w:val="33332E"/>
          <w:sz w:val="25"/>
          <w:szCs w:val="25"/>
        </w:rPr>
        <w:t xml:space="preserve">Does Protection Protect? A Comparative Study of Asylum System Performance</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A comparative policy analysis of asylum system effectiveness across two or three jurisdictions, using recognition rates, processing times, appeals outcomes, and reception conditions.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Critically assess protection system limitations (Grad 1)</w:t>
      </w:r>
    </w:p>
    <w:p>
      <w:pPr>
        <w:pStyle w:val="ListParagraph"/>
        <w:numPr>
          <w:ilvl w:val="0"/>
          <w:numId w:val="2"/>
        </w:numPr>
        <w:spacing w:after="90" w:line="276"/>
      </w:pPr>
      <w:r>
        <w:rPr>
          <w:rFonts w:ascii="Arial" w:cs="Arial" w:eastAsia="Arial" w:hAnsi="Arial"/>
          <w:color w:val="33332E"/>
          <w:sz w:val="21"/>
          <w:szCs w:val="21"/>
        </w:rPr>
        <w:t xml:space="preserve">Analyze policy implications (Grad 2)</w:t>
      </w:r>
    </w:p>
    <w:p>
      <w:pPr>
        <w:pStyle w:val="Heading2"/>
        <w:spacing w:after="120" w:before="260"/>
      </w:pPr>
      <w:r>
        <w:rPr>
          <w:rFonts w:ascii="Arial" w:cs="Arial" w:eastAsia="Arial" w:hAnsi="Arial"/>
          <w:b/>
          <w:bCs/>
          <w:color w:val="175A82"/>
          <w:sz w:val="24"/>
          <w:szCs w:val="24"/>
        </w:rPr>
        <w:t xml:space="preserve">Sample research questions</w:t>
      </w:r>
    </w:p>
    <w:p>
      <w:pPr>
        <w:pStyle w:val="ListParagraph"/>
        <w:numPr>
          <w:ilvl w:val="0"/>
          <w:numId w:val="2"/>
        </w:numPr>
        <w:spacing w:after="90" w:line="276"/>
      </w:pPr>
      <w:r>
        <w:rPr>
          <w:rFonts w:ascii="Arial" w:cs="Arial" w:eastAsia="Arial" w:hAnsi="Arial"/>
          <w:color w:val="33332E"/>
          <w:sz w:val="21"/>
          <w:szCs w:val="21"/>
        </w:rPr>
        <w:t xml:space="preserve">Why do recognition rates for the same nationality vary dramatically across (and within) countries?</w:t>
      </w:r>
    </w:p>
    <w:p>
      <w:pPr>
        <w:pStyle w:val="ListParagraph"/>
        <w:numPr>
          <w:ilvl w:val="0"/>
          <w:numId w:val="2"/>
        </w:numPr>
        <w:spacing w:after="90" w:line="276"/>
      </w:pPr>
      <w:r>
        <w:rPr>
          <w:rFonts w:ascii="Arial" w:cs="Arial" w:eastAsia="Arial" w:hAnsi="Arial"/>
          <w:color w:val="33332E"/>
          <w:sz w:val="21"/>
          <w:szCs w:val="21"/>
        </w:rPr>
        <w:t xml:space="preserve">What do processing backlogs and appeal reversal rates reveal about system quality?</w:t>
      </w:r>
    </w:p>
    <w:p>
      <w:pPr>
        <w:pStyle w:val="ListParagraph"/>
        <w:numPr>
          <w:ilvl w:val="0"/>
          <w:numId w:val="2"/>
        </w:numPr>
        <w:spacing w:after="90" w:line="276"/>
      </w:pPr>
      <w:r>
        <w:rPr>
          <w:rFonts w:ascii="Arial" w:cs="Arial" w:eastAsia="Arial" w:hAnsi="Arial"/>
          <w:color w:val="33332E"/>
          <w:sz w:val="21"/>
          <w:szCs w:val="21"/>
        </w:rPr>
        <w:t xml:space="preserve">Which reforms show credible evidence of improving both fairness and efficiency?</w:t>
      </w:r>
    </w:p>
    <w:p>
      <w:pPr>
        <w:pStyle w:val="Heading2"/>
        <w:spacing w:after="120" w:before="260"/>
      </w:pPr>
      <w:r>
        <w:rPr>
          <w:rFonts w:ascii="Arial" w:cs="Arial" w:eastAsia="Arial" w:hAnsi="Arial"/>
          <w:b/>
          <w:bCs/>
          <w:color w:val="175A82"/>
          <w:sz w:val="24"/>
          <w:szCs w:val="24"/>
        </w:rPr>
        <w:t xml:space="preserve">Methods</w:t>
      </w:r>
    </w:p>
    <w:p>
      <w:pPr>
        <w:spacing w:after="160" w:line="276"/>
      </w:pPr>
      <w:r>
        <w:rPr>
          <w:rFonts w:ascii="Arial" w:cs="Arial" w:eastAsia="Arial" w:hAnsi="Arial"/>
          <w:color w:val="33332E"/>
          <w:sz w:val="21"/>
          <w:szCs w:val="21"/>
        </w:rPr>
        <w:t xml:space="preserve">Comparative case design using EUAA, UNHCR, TRAC, and national statistics plus secondary literature. Standardize metrics across jurisdictions and address data comparability problems explicitly.</w:t>
      </w:r>
    </w:p>
    <w:p>
      <w:pPr>
        <w:pStyle w:val="Heading2"/>
        <w:spacing w:after="120" w:before="260"/>
      </w:pPr>
      <w:r>
        <w:rPr>
          <w:rFonts w:ascii="Arial" w:cs="Arial" w:eastAsia="Arial" w:hAnsi="Arial"/>
          <w:b/>
          <w:bCs/>
          <w:color w:val="175A82"/>
          <w:sz w:val="24"/>
          <w:szCs w:val="24"/>
        </w:rPr>
        <w:t xml:space="preserve">IRB / research ethics</w:t>
      </w:r>
    </w:p>
    <w:p>
      <w:pPr>
        <w:spacing w:after="160" w:line="276"/>
      </w:pPr>
      <w:r>
        <w:rPr>
          <w:rFonts w:ascii="Arial" w:cs="Arial" w:eastAsia="Arial" w:hAnsi="Arial"/>
          <w:color w:val="33332E"/>
          <w:sz w:val="21"/>
          <w:szCs w:val="21"/>
        </w:rPr>
        <w:t xml:space="preserve">Not required for statistical/documentary design; required if adding practitioner interviews.</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4,500-word comparative policy critique</w:t>
      </w:r>
    </w:p>
    <w:p>
      <w:pPr>
        <w:pStyle w:val="ListParagraph"/>
        <w:numPr>
          <w:ilvl w:val="0"/>
          <w:numId w:val="2"/>
        </w:numPr>
        <w:spacing w:after="90" w:line="276"/>
      </w:pPr>
      <w:r>
        <w:rPr>
          <w:rFonts w:ascii="Arial" w:cs="Arial" w:eastAsia="Arial" w:hAnsi="Arial"/>
          <w:color w:val="33332E"/>
          <w:sz w:val="21"/>
          <w:szCs w:val="21"/>
        </w:rPr>
        <w:t xml:space="preserve">Comparative metrics dashboard (table or chart set)</w:t>
      </w:r>
    </w:p>
    <w:p>
      <w:pPr>
        <w:pStyle w:val="ListParagraph"/>
        <w:numPr>
          <w:ilvl w:val="0"/>
          <w:numId w:val="2"/>
        </w:numPr>
        <w:spacing w:after="90" w:line="276"/>
      </w:pPr>
      <w:r>
        <w:rPr>
          <w:rFonts w:ascii="Arial" w:cs="Arial" w:eastAsia="Arial" w:hAnsi="Arial"/>
          <w:color w:val="33332E"/>
          <w:sz w:val="21"/>
          <w:szCs w:val="21"/>
        </w:rPr>
        <w:t xml:space="preserve">One-page reform brief</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Comparability rigor — honest handling of messy data</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rigorous and transparent: comparability rigor — honest handling of messy data is fully documented, choices are justified, limitations are stated, and another student could replicate the work from what is written.</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sound: comparability rigor — honest handling of messy data is documented and mostly justified, with limitations acknowledged; small gaps would not change the findings.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partial: comparability rigor — honest handling of messy data is described but under-documented or inconsistently applied, leaving findings plausible but not checkable.</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Method is absent or unsound: comparability rigor — honest handling of messy data is missing, undocumented, or applied so loosely that the findings cannot be trusted.</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Depth of institutional analysis</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depth of institutional analysis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depth of institutional analysis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depth of institutional analysis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depth of institutional analysis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evidence-based reform proposals</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quality of evidence-based reform proposals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quality of evidence-based reform proposals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quality of evidence-based reform proposals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quality of evidence-based reform proposals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Presentation of the metrics</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presentation of the metrics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presentation of the metrics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presentation of the metrics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presentation of the metrics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6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6 · Graduate Research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2026-07-21T19:52:49.356Z</dcterms:created>
  <dcterms:modified xsi:type="dcterms:W3CDTF">2026-07-21T19:52:49.356Z</dcterms:modified>
</cp:coreProperties>
</file>

<file path=docProps/custom.xml><?xml version="1.0" encoding="utf-8"?>
<Properties xmlns="http://schemas.openxmlformats.org/officeDocument/2006/custom-properties" xmlns:vt="http://schemas.openxmlformats.org/officeDocument/2006/docPropsVTypes"/>
</file>