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6: Refugees, Asylum, and Forced Displacement</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Welcome Team: Supporting Refugee Resettlement or Asylum Seekers</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Join a resettlement co-sponsorship team, asylum clinic support program, or campus welcome initiative, and compare the protection system as designed with the system as newcomers actually experience it.</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Define refugee and asylum categories through real cases (UG 1)</w:t>
      </w:r>
    </w:p>
    <w:p>
      <w:pPr>
        <w:pStyle w:val="ListParagraph"/>
        <w:numPr>
          <w:ilvl w:val="0"/>
          <w:numId w:val="2"/>
        </w:numPr>
        <w:spacing w:after="90" w:line="276"/>
      </w:pPr>
      <w:r>
        <w:rPr>
          <w:rFonts w:ascii="Arial" w:cs="Arial" w:eastAsia="Arial" w:hAnsi="Arial"/>
          <w:color w:val="33332E"/>
          <w:sz w:val="21"/>
          <w:szCs w:val="21"/>
        </w:rPr>
        <w:t xml:space="preserve">Describe protection systems as encountered in practice (UG 2)</w:t>
      </w:r>
    </w:p>
    <w:p>
      <w:pPr>
        <w:pStyle w:val="ListParagraph"/>
        <w:numPr>
          <w:ilvl w:val="0"/>
          <w:numId w:val="2"/>
        </w:numPr>
        <w:spacing w:after="90" w:line="276"/>
      </w:pPr>
      <w:r>
        <w:rPr>
          <w:rFonts w:ascii="Arial" w:cs="Arial" w:eastAsia="Arial" w:hAnsi="Arial"/>
          <w:color w:val="33332E"/>
          <w:sz w:val="21"/>
          <w:szCs w:val="21"/>
        </w:rPr>
        <w:t xml:space="preserve">Compare migrant categories and their different entitlements (UG 3)</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Refugee resettlement agencies (co-sponsorship or welcome teams)</w:t>
      </w:r>
    </w:p>
    <w:p>
      <w:pPr>
        <w:pStyle w:val="ListParagraph"/>
        <w:numPr>
          <w:ilvl w:val="0"/>
          <w:numId w:val="2"/>
        </w:numPr>
        <w:spacing w:after="90" w:line="276"/>
      </w:pPr>
      <w:r>
        <w:rPr>
          <w:rFonts w:ascii="Arial" w:cs="Arial" w:eastAsia="Arial" w:hAnsi="Arial"/>
          <w:color w:val="33332E"/>
          <w:sz w:val="21"/>
          <w:szCs w:val="21"/>
        </w:rPr>
        <w:t xml:space="preserve">Legal clinics serving asylum seekers (non-legal support roles)</w:t>
      </w:r>
    </w:p>
    <w:p>
      <w:pPr>
        <w:pStyle w:val="ListParagraph"/>
        <w:numPr>
          <w:ilvl w:val="0"/>
          <w:numId w:val="2"/>
        </w:numPr>
        <w:spacing w:after="90" w:line="276"/>
      </w:pPr>
      <w:r>
        <w:rPr>
          <w:rFonts w:ascii="Arial" w:cs="Arial" w:eastAsia="Arial" w:hAnsi="Arial"/>
          <w:color w:val="33332E"/>
          <w:sz w:val="21"/>
          <w:szCs w:val="21"/>
        </w:rPr>
        <w:t xml:space="preserve">Every Campus a Refuge chapters or equivalents</w:t>
      </w:r>
    </w:p>
    <w:p>
      <w:pPr>
        <w:pStyle w:val="ListParagraph"/>
        <w:numPr>
          <w:ilvl w:val="0"/>
          <w:numId w:val="2"/>
        </w:numPr>
        <w:spacing w:after="90" w:line="276"/>
      </w:pPr>
      <w:r>
        <w:rPr>
          <w:rFonts w:ascii="Arial" w:cs="Arial" w:eastAsia="Arial" w:hAnsi="Arial"/>
          <w:color w:val="33332E"/>
          <w:sz w:val="21"/>
          <w:szCs w:val="21"/>
        </w:rPr>
        <w:t xml:space="preserve">Mutual aid groups supporting new arrivals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Complete partner training (confidentiality is central here).</w:t>
      </w:r>
    </w:p>
    <w:p>
      <w:pPr>
        <w:pStyle w:val="ListParagraph"/>
        <w:numPr>
          <w:ilvl w:val="0"/>
          <w:numId w:val="3"/>
        </w:numPr>
        <w:spacing w:after="90" w:line="276"/>
      </w:pPr>
      <w:r>
        <w:rPr>
          <w:rFonts w:ascii="Arial" w:cs="Arial" w:eastAsia="Arial" w:hAnsi="Arial"/>
          <w:color w:val="33332E"/>
          <w:sz w:val="21"/>
          <w:szCs w:val="21"/>
        </w:rPr>
        <w:t xml:space="preserve">Serve in concrete support roles: apartment setup, transportation, ESL practice, childcare during appointments, document organization (non-legal).</w:t>
      </w:r>
    </w:p>
    <w:p>
      <w:pPr>
        <w:pStyle w:val="ListParagraph"/>
        <w:numPr>
          <w:ilvl w:val="0"/>
          <w:numId w:val="3"/>
        </w:numPr>
        <w:spacing w:after="90" w:line="276"/>
      </w:pPr>
      <w:r>
        <w:rPr>
          <w:rFonts w:ascii="Arial" w:cs="Arial" w:eastAsia="Arial" w:hAnsi="Arial"/>
          <w:color w:val="33332E"/>
          <w:sz w:val="21"/>
          <w:szCs w:val="21"/>
        </w:rPr>
        <w:t xml:space="preserve">Track — without client details — which systems newcomers must navigate (benefits, work authorization, school enrollment, legal deadlines) and where friction occurs.</w:t>
      </w:r>
    </w:p>
    <w:p>
      <w:pPr>
        <w:pStyle w:val="ListParagraph"/>
        <w:numPr>
          <w:ilvl w:val="0"/>
          <w:numId w:val="3"/>
        </w:numPr>
        <w:spacing w:after="90" w:line="276"/>
      </w:pPr>
      <w:r>
        <w:rPr>
          <w:rFonts w:ascii="Arial" w:cs="Arial" w:eastAsia="Arial" w:hAnsi="Arial"/>
          <w:color w:val="33332E"/>
          <w:sz w:val="21"/>
          <w:szCs w:val="21"/>
        </w:rPr>
        <w:t xml:space="preserve">Map the observed journey against the textbook asylum/resettlement process from the module.</w:t>
      </w:r>
    </w:p>
    <w:p>
      <w:pPr>
        <w:pStyle w:val="ListParagraph"/>
        <w:numPr>
          <w:ilvl w:val="0"/>
          <w:numId w:val="3"/>
        </w:numPr>
        <w:spacing w:after="90" w:line="276"/>
      </w:pPr>
      <w:r>
        <w:rPr>
          <w:rFonts w:ascii="Arial" w:cs="Arial" w:eastAsia="Arial" w:hAnsi="Arial"/>
          <w:color w:val="33332E"/>
          <w:sz w:val="21"/>
          <w:szCs w:val="21"/>
        </w:rPr>
        <w:t xml:space="preserve">Write a field memo: where the system as designed and the system as experienced diverge.</w:t>
      </w:r>
    </w:p>
    <w:p>
      <w:pPr>
        <w:pStyle w:val="ListParagraph"/>
        <w:numPr>
          <w:ilvl w:val="0"/>
          <w:numId w:val="3"/>
        </w:numPr>
        <w:spacing w:after="90" w:line="276"/>
      </w:pPr>
      <w:r>
        <w:rPr>
          <w:rFonts w:ascii="Arial" w:cs="Arial" w:eastAsia="Arial" w:hAnsi="Arial"/>
          <w:color w:val="33332E"/>
          <w:sz w:val="21"/>
          <w:szCs w:val="21"/>
        </w:rPr>
        <w:t xml:space="preserve">Share themes (not cases) with the partner as a volunteer-experience debrief.</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Protection-system field memo (4 pages)</w:t>
      </w:r>
    </w:p>
    <w:p>
      <w:pPr>
        <w:pStyle w:val="ListParagraph"/>
        <w:numPr>
          <w:ilvl w:val="0"/>
          <w:numId w:val="2"/>
        </w:numPr>
        <w:spacing w:after="90" w:line="276"/>
      </w:pPr>
      <w:r>
        <w:rPr>
          <w:rFonts w:ascii="Arial" w:cs="Arial" w:eastAsia="Arial" w:hAnsi="Arial"/>
          <w:color w:val="33332E"/>
          <w:sz w:val="21"/>
          <w:szCs w:val="21"/>
        </w:rPr>
        <w:t xml:space="preserve">Process map: designed vs. experienced</w:t>
      </w:r>
    </w:p>
    <w:p>
      <w:pPr>
        <w:pStyle w:val="ListParagraph"/>
        <w:numPr>
          <w:ilvl w:val="0"/>
          <w:numId w:val="2"/>
        </w:numPr>
        <w:spacing w:after="90" w:line="276"/>
      </w:pPr>
      <w:r>
        <w:rPr>
          <w:rFonts w:ascii="Arial" w:cs="Arial" w:eastAsia="Arial" w:hAnsi="Arial"/>
          <w:color w:val="33332E"/>
          <w:sz w:val="21"/>
          <w:szCs w:val="21"/>
        </w:rPr>
        <w:t xml:space="preserve">Service log with partner sign-off</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18–20 hours (resettlement support requires continuity).</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Strict confidentiality; students never ask about persecution histories or legal case details.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Reliability and quality of service</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Exceptional professionalism: reliability and quality of service is confirmed by strong partner or site feedback; the student was consistently prepared, dependable, and left the partner concretely better off.</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Solid professionalism: reliability and quality of service is confirmed by positive partner feedback; commitments were met with only minor scheduling or preparation issues.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Inconsistent professionalism: reliability and quality of service is partially met — missed sessions, uneven preparation, or partner feedback indicating the student required significant management.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Inadequate professionalism: reliability and quality of service is not met; commitments were unmet or the partner's experience was negative.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of the system description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accuracy of the system description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accuracy of the system description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accuracy of the system description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accuracy of the system description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Insight of the designed-vs-experienced analysis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insight of the designed-vs-experienced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insight of the designed-vs-experienced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insight of the designed-vs-experienced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insight of the designed-vs-experienced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Professional handling of confidentiality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impeccable: professional handling of confidentiality is demonstrated throughout, protocols are followed without exception, and the work shows active care for the people and communities involved.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sound: professional handling of confidentiality is evident with only minor lapses that do not affect participants or partners, and all required protocols are followed.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uneven: professional handling of confidentiality is addressed but with gaps — a missed protocol step, careless handling of sensitive material, or boundary issues requiring instructor follow-up.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falls short of requirements: professional handling of confidentiality is neglected in ways that required intervention or placed participants, partners, or material at risk.</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6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6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2026-07-21T19:52:49.337Z</dcterms:created>
  <dcterms:modified xsi:type="dcterms:W3CDTF">2026-07-21T19:52:49.337Z</dcterms:modified>
</cp:coreProperties>
</file>

<file path=docProps/custom.xml><?xml version="1.0" encoding="utf-8"?>
<Properties xmlns="http://schemas.openxmlformats.org/officeDocument/2006/custom-properties" xmlns:vt="http://schemas.openxmlformats.org/officeDocument/2006/docPropsVTypes"/>
</file>