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7: Migration Through History</w:t>
      </w:r>
    </w:p>
    <w:p>
      <w:pPr>
        <w:spacing w:after="60"/>
      </w:pPr>
      <w:r>
        <w:rPr>
          <w:rFonts w:ascii="Arial" w:cs="Arial" w:eastAsia="Arial" w:hAnsi="Arial"/>
          <w:b/>
          <w:bCs/>
          <w:color w:val="175A82"/>
          <w:sz w:val="22"/>
          <w:szCs w:val="22"/>
        </w:rPr>
        <w:t xml:space="preserve">Graduate Research Project</w:t>
      </w:r>
    </w:p>
    <w:p>
      <w:pPr>
        <w:pBdr>
          <w:bottom w:val="single" w:color="E7F2F9" w:sz="6" w:space="6"/>
        </w:pBdr>
        <w:spacing w:after="220"/>
      </w:pPr>
      <w:r>
        <w:rPr>
          <w:rFonts w:ascii="Arial" w:cs="Arial" w:eastAsia="Arial" w:hAnsi="Arial"/>
          <w:b/>
          <w:bCs/>
          <w:i/>
          <w:iCs/>
          <w:color w:val="33332E"/>
          <w:sz w:val="25"/>
          <w:szCs w:val="25"/>
        </w:rPr>
        <w:t xml:space="preserve">Continuity and Rupture: Comparing a Historical and a Contemporary Migration Regime</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A comparative-historical essay analyzing one past migration regime alongside its closest contemporary analogue (e.g., 1920s US quotas and modern visa caps; guest-worker programs then and now; post-WWII displacement and today's protection system).</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Analyze continuity and rupture in migration regimes (Grad 1)</w:t>
      </w:r>
    </w:p>
    <w:p>
      <w:pPr>
        <w:pStyle w:val="Heading2"/>
        <w:spacing w:after="120" w:before="260"/>
      </w:pPr>
      <w:r>
        <w:rPr>
          <w:rFonts w:ascii="Arial" w:cs="Arial" w:eastAsia="Arial" w:hAnsi="Arial"/>
          <w:b/>
          <w:bCs/>
          <w:color w:val="175A82"/>
          <w:sz w:val="24"/>
          <w:szCs w:val="24"/>
        </w:rPr>
        <w:t xml:space="preserve">Sample research questions</w:t>
      </w:r>
    </w:p>
    <w:p>
      <w:pPr>
        <w:pStyle w:val="ListParagraph"/>
        <w:numPr>
          <w:ilvl w:val="0"/>
          <w:numId w:val="2"/>
        </w:numPr>
        <w:spacing w:after="90" w:line="276"/>
      </w:pPr>
      <w:r>
        <w:rPr>
          <w:rFonts w:ascii="Arial" w:cs="Arial" w:eastAsia="Arial" w:hAnsi="Arial"/>
          <w:color w:val="33332E"/>
          <w:sz w:val="21"/>
          <w:szCs w:val="21"/>
        </w:rPr>
        <w:t xml:space="preserve">What problem did each regime claim to solve, and whom did it actually serve?</w:t>
      </w:r>
    </w:p>
    <w:p>
      <w:pPr>
        <w:pStyle w:val="ListParagraph"/>
        <w:numPr>
          <w:ilvl w:val="0"/>
          <w:numId w:val="2"/>
        </w:numPr>
        <w:spacing w:after="90" w:line="276"/>
      </w:pPr>
      <w:r>
        <w:rPr>
          <w:rFonts w:ascii="Arial" w:cs="Arial" w:eastAsia="Arial" w:hAnsi="Arial"/>
          <w:color w:val="33332E"/>
          <w:sz w:val="21"/>
          <w:szCs w:val="21"/>
        </w:rPr>
        <w:t xml:space="preserve">Which mechanisms (categories, quotas, enforcement, documentation) persist across the century, and which genuinely changed?</w:t>
      </w:r>
    </w:p>
    <w:p>
      <w:pPr>
        <w:pStyle w:val="ListParagraph"/>
        <w:numPr>
          <w:ilvl w:val="0"/>
          <w:numId w:val="2"/>
        </w:numPr>
        <w:spacing w:after="90" w:line="276"/>
      </w:pPr>
      <w:r>
        <w:rPr>
          <w:rFonts w:ascii="Arial" w:cs="Arial" w:eastAsia="Arial" w:hAnsi="Arial"/>
          <w:color w:val="33332E"/>
          <w:sz w:val="21"/>
          <w:szCs w:val="21"/>
        </w:rPr>
        <w:t xml:space="preserve">What does the historical case predict about the contemporary regime's trajectory?</w:t>
      </w:r>
    </w:p>
    <w:p>
      <w:pPr>
        <w:pStyle w:val="Heading2"/>
        <w:spacing w:after="120" w:before="260"/>
      </w:pPr>
      <w:r>
        <w:rPr>
          <w:rFonts w:ascii="Arial" w:cs="Arial" w:eastAsia="Arial" w:hAnsi="Arial"/>
          <w:b/>
          <w:bCs/>
          <w:color w:val="175A82"/>
          <w:sz w:val="24"/>
          <w:szCs w:val="24"/>
        </w:rPr>
        <w:t xml:space="preserve">Methods</w:t>
      </w:r>
    </w:p>
    <w:p>
      <w:pPr>
        <w:spacing w:after="160" w:line="276"/>
      </w:pPr>
      <w:r>
        <w:rPr>
          <w:rFonts w:ascii="Arial" w:cs="Arial" w:eastAsia="Arial" w:hAnsi="Arial"/>
          <w:color w:val="33332E"/>
          <w:sz w:val="21"/>
          <w:szCs w:val="21"/>
        </w:rPr>
        <w:t xml:space="preserve">Comparative-historical analysis using at least four primary sources (laws, speeches, agency records, contemporary press) plus scholarship. Explicit comparison framework — not two separate summaries.</w:t>
      </w:r>
    </w:p>
    <w:p>
      <w:pPr>
        <w:pStyle w:val="Heading2"/>
        <w:spacing w:after="120" w:before="260"/>
      </w:pPr>
      <w:r>
        <w:rPr>
          <w:rFonts w:ascii="Arial" w:cs="Arial" w:eastAsia="Arial" w:hAnsi="Arial"/>
          <w:b/>
          <w:bCs/>
          <w:color w:val="175A82"/>
          <w:sz w:val="24"/>
          <w:szCs w:val="24"/>
        </w:rPr>
        <w:t xml:space="preserve">IRB / research ethics</w:t>
      </w:r>
    </w:p>
    <w:p>
      <w:pPr>
        <w:spacing w:after="160" w:line="276"/>
      </w:pPr>
      <w:r>
        <w:rPr>
          <w:rFonts w:ascii="Arial" w:cs="Arial" w:eastAsia="Arial" w:hAnsi="Arial"/>
          <w:color w:val="33332E"/>
          <w:sz w:val="21"/>
          <w:szCs w:val="21"/>
        </w:rPr>
        <w:t xml:space="preserve">Not required — archival and published sources.</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4,500–5,500-word comparative essay with a continuity/rupture analysis table</w:t>
      </w:r>
    </w:p>
    <w:p>
      <w:pPr>
        <w:pStyle w:val="ListParagraph"/>
        <w:numPr>
          <w:ilvl w:val="0"/>
          <w:numId w:val="2"/>
        </w:numPr>
        <w:spacing w:after="90" w:line="276"/>
      </w:pPr>
      <w:r>
        <w:rPr>
          <w:rFonts w:ascii="Arial" w:cs="Arial" w:eastAsia="Arial" w:hAnsi="Arial"/>
          <w:color w:val="33332E"/>
          <w:sz w:val="21"/>
          <w:szCs w:val="21"/>
        </w:rPr>
        <w:t xml:space="preserve">Annotated primary source appendix</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Primary source depth</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primary source depth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primary source depth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primary source depth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primary source depth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Rigor of the comparative framework</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rigor of the comparative framework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rigor of the comparative framework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rigor of the comparative framework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rigor of the comparative framework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Argument quality on continuity vs. rupture</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argument quality on continuity vs. rupture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argument quality on continuity vs. rupture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argument quality on continuity vs. rupture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argument quality on continuity vs. rupture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Writing and citation</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writing and citation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writing and citation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writing and citation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writing and citation is not achieved; errors, disorganization, or missing citations obscure the substance.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7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7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2026-07-21T19:52:49.377Z</dcterms:created>
  <dcterms:modified xsi:type="dcterms:W3CDTF">2026-07-21T19:52:49.377Z</dcterms:modified>
</cp:coreProperties>
</file>

<file path=docProps/custom.xml><?xml version="1.0" encoding="utf-8"?>
<Properties xmlns="http://schemas.openxmlformats.org/officeDocument/2006/custom-properties" xmlns:vt="http://schemas.openxmlformats.org/officeDocument/2006/docPropsVTypes"/>
</file>