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7: Migration Through History</w:t>
      </w:r>
    </w:p>
    <w:p>
      <w:pPr>
        <w:spacing w:after="60"/>
      </w:pPr>
      <w:r>
        <w:rPr>
          <w:rFonts w:ascii="Arial" w:cs="Arial" w:eastAsia="Arial" w:hAnsi="Arial"/>
          <w:b/>
          <w:bCs/>
          <w:color w:val="175A82"/>
          <w:sz w:val="22"/>
          <w:szCs w:val="22"/>
        </w:rPr>
        <w:t xml:space="preserve">Service Learning Project</w:t>
      </w:r>
    </w:p>
    <w:p>
      <w:pPr>
        <w:pBdr>
          <w:bottom w:val="single" w:color="E7F2F9" w:sz="6" w:space="6"/>
        </w:pBdr>
        <w:spacing w:after="220"/>
      </w:pPr>
      <w:r>
        <w:rPr>
          <w:rFonts w:ascii="Arial" w:cs="Arial" w:eastAsia="Arial" w:hAnsi="Arial"/>
          <w:b/>
          <w:bCs/>
          <w:i/>
          <w:iCs/>
          <w:color w:val="33332E"/>
          <w:sz w:val="25"/>
          <w:szCs w:val="25"/>
        </w:rPr>
        <w:t xml:space="preserve">Migration Memory Project: Local History with a Community Archive</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Partner with a historical society, museum, or immigrant heritage organization to document and present a chapter of your community's migration history — and connect it to today.</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Describe historical migration patterns in your own community (UG 1)</w:t>
      </w:r>
    </w:p>
    <w:p>
      <w:pPr>
        <w:pStyle w:val="ListParagraph"/>
        <w:numPr>
          <w:ilvl w:val="0"/>
          <w:numId w:val="2"/>
        </w:numPr>
        <w:spacing w:after="90" w:line="276"/>
      </w:pPr>
      <w:r>
        <w:rPr>
          <w:rFonts w:ascii="Arial" w:cs="Arial" w:eastAsia="Arial" w:hAnsi="Arial"/>
          <w:color w:val="33332E"/>
          <w:sz w:val="21"/>
          <w:szCs w:val="21"/>
        </w:rPr>
        <w:t xml:space="preserve">Compare past and present migration experiences (UG 2)</w:t>
      </w:r>
    </w:p>
    <w:p>
      <w:pPr>
        <w:pStyle w:val="ListParagraph"/>
        <w:numPr>
          <w:ilvl w:val="0"/>
          <w:numId w:val="2"/>
        </w:numPr>
        <w:spacing w:after="90" w:line="276"/>
      </w:pPr>
      <w:r>
        <w:rPr>
          <w:rFonts w:ascii="Arial" w:cs="Arial" w:eastAsia="Arial" w:hAnsi="Arial"/>
          <w:color w:val="33332E"/>
          <w:sz w:val="21"/>
          <w:szCs w:val="21"/>
        </w:rPr>
        <w:t xml:space="preserve">Identify how policy shifts shaped local settlement (UG 3)</w:t>
      </w:r>
    </w:p>
    <w:p>
      <w:pPr>
        <w:pStyle w:val="Heading2"/>
        <w:spacing w:after="120" w:before="260"/>
      </w:pPr>
      <w:r>
        <w:rPr>
          <w:rFonts w:ascii="Arial" w:cs="Arial" w:eastAsia="Arial" w:hAnsi="Arial"/>
          <w:b/>
          <w:bCs/>
          <w:color w:val="175A82"/>
          <w:sz w:val="24"/>
          <w:szCs w:val="24"/>
        </w:rPr>
        <w:t xml:space="preserve">Suggested community partners</w:t>
      </w:r>
    </w:p>
    <w:p>
      <w:pPr>
        <w:pStyle w:val="ListParagraph"/>
        <w:numPr>
          <w:ilvl w:val="0"/>
          <w:numId w:val="2"/>
        </w:numPr>
        <w:spacing w:after="90" w:line="276"/>
      </w:pPr>
      <w:r>
        <w:rPr>
          <w:rFonts w:ascii="Arial" w:cs="Arial" w:eastAsia="Arial" w:hAnsi="Arial"/>
          <w:color w:val="33332E"/>
          <w:sz w:val="21"/>
          <w:szCs w:val="21"/>
        </w:rPr>
        <w:t xml:space="preserve">Local historical societies and museums</w:t>
      </w:r>
    </w:p>
    <w:p>
      <w:pPr>
        <w:pStyle w:val="ListParagraph"/>
        <w:numPr>
          <w:ilvl w:val="0"/>
          <w:numId w:val="2"/>
        </w:numPr>
        <w:spacing w:after="90" w:line="276"/>
      </w:pPr>
      <w:r>
        <w:rPr>
          <w:rFonts w:ascii="Arial" w:cs="Arial" w:eastAsia="Arial" w:hAnsi="Arial"/>
          <w:color w:val="33332E"/>
          <w:sz w:val="21"/>
          <w:szCs w:val="21"/>
        </w:rPr>
        <w:t xml:space="preserve">Immigrant heritage and cultural organizations</w:t>
      </w:r>
    </w:p>
    <w:p>
      <w:pPr>
        <w:pStyle w:val="ListParagraph"/>
        <w:numPr>
          <w:ilvl w:val="0"/>
          <w:numId w:val="2"/>
        </w:numPr>
        <w:spacing w:after="90" w:line="276"/>
      </w:pPr>
      <w:r>
        <w:rPr>
          <w:rFonts w:ascii="Arial" w:cs="Arial" w:eastAsia="Arial" w:hAnsi="Arial"/>
          <w:color w:val="33332E"/>
          <w:sz w:val="21"/>
          <w:szCs w:val="21"/>
        </w:rPr>
        <w:t xml:space="preserve">Public library local-history rooms</w:t>
      </w:r>
    </w:p>
    <w:p>
      <w:pPr>
        <w:pStyle w:val="ListParagraph"/>
        <w:numPr>
          <w:ilvl w:val="0"/>
          <w:numId w:val="2"/>
        </w:numPr>
        <w:spacing w:after="90" w:line="276"/>
      </w:pPr>
      <w:r>
        <w:rPr>
          <w:rFonts w:ascii="Arial" w:cs="Arial" w:eastAsia="Arial" w:hAnsi="Arial"/>
          <w:color w:val="33332E"/>
          <w:sz w:val="21"/>
          <w:szCs w:val="21"/>
        </w:rPr>
        <w:t xml:space="preserve">Oral history projects at community colleges or universities</w:t>
      </w:r>
    </w:p>
    <w:p>
      <w:pPr>
        <w:pStyle w:val="Heading2"/>
        <w:spacing w:after="120" w:before="260"/>
      </w:pPr>
      <w:r>
        <w:rPr>
          <w:rFonts w:ascii="Arial" w:cs="Arial" w:eastAsia="Arial" w:hAnsi="Arial"/>
          <w:b/>
          <w:bCs/>
          <w:color w:val="175A82"/>
          <w:sz w:val="24"/>
          <w:szCs w:val="24"/>
        </w:rPr>
        <w:t xml:space="preserve">Project steps</w:t>
      </w:r>
    </w:p>
    <w:p>
      <w:pPr>
        <w:pStyle w:val="ListParagraph"/>
        <w:numPr>
          <w:ilvl w:val="0"/>
          <w:numId w:val="3"/>
        </w:numPr>
        <w:spacing w:after="90" w:line="276"/>
      </w:pPr>
      <w:r>
        <w:rPr>
          <w:rFonts w:ascii="Arial" w:cs="Arial" w:eastAsia="Arial" w:hAnsi="Arial"/>
          <w:color w:val="33332E"/>
          <w:sz w:val="21"/>
          <w:szCs w:val="21"/>
        </w:rPr>
        <w:t xml:space="preserve">Choose, with the partner, one local migration story (a neighborhood, industry, congregation, or family network).</w:t>
      </w:r>
    </w:p>
    <w:p>
      <w:pPr>
        <w:pStyle w:val="ListParagraph"/>
        <w:numPr>
          <w:ilvl w:val="0"/>
          <w:numId w:val="3"/>
        </w:numPr>
        <w:spacing w:after="90" w:line="276"/>
      </w:pPr>
      <w:r>
        <w:rPr>
          <w:rFonts w:ascii="Arial" w:cs="Arial" w:eastAsia="Arial" w:hAnsi="Arial"/>
          <w:color w:val="33332E"/>
          <w:sz w:val="21"/>
          <w:szCs w:val="21"/>
        </w:rPr>
        <w:t xml:space="preserve">Complete oral-history ethics training if interviews are involved (consent forms, ownership of recordings).</w:t>
      </w:r>
    </w:p>
    <w:p>
      <w:pPr>
        <w:pStyle w:val="ListParagraph"/>
        <w:numPr>
          <w:ilvl w:val="0"/>
          <w:numId w:val="3"/>
        </w:numPr>
        <w:spacing w:after="90" w:line="276"/>
      </w:pPr>
      <w:r>
        <w:rPr>
          <w:rFonts w:ascii="Arial" w:cs="Arial" w:eastAsia="Arial" w:hAnsi="Arial"/>
          <w:color w:val="33332E"/>
          <w:sz w:val="21"/>
          <w:szCs w:val="21"/>
        </w:rPr>
        <w:t xml:space="preserve">Research archival sources: newspapers, census records, photographs, institutional records.</w:t>
      </w:r>
    </w:p>
    <w:p>
      <w:pPr>
        <w:pStyle w:val="ListParagraph"/>
        <w:numPr>
          <w:ilvl w:val="0"/>
          <w:numId w:val="3"/>
        </w:numPr>
        <w:spacing w:after="90" w:line="276"/>
      </w:pPr>
      <w:r>
        <w:rPr>
          <w:rFonts w:ascii="Arial" w:cs="Arial" w:eastAsia="Arial" w:hAnsi="Arial"/>
          <w:color w:val="33332E"/>
          <w:sz w:val="21"/>
          <w:szCs w:val="21"/>
        </w:rPr>
        <w:t xml:space="preserve">Conduct 1–2 oral history interviews with elders or descendants where appropriate, following the partner's protocols.</w:t>
      </w:r>
    </w:p>
    <w:p>
      <w:pPr>
        <w:pStyle w:val="ListParagraph"/>
        <w:numPr>
          <w:ilvl w:val="0"/>
          <w:numId w:val="3"/>
        </w:numPr>
        <w:spacing w:after="90" w:line="276"/>
      </w:pPr>
      <w:r>
        <w:rPr>
          <w:rFonts w:ascii="Arial" w:cs="Arial" w:eastAsia="Arial" w:hAnsi="Arial"/>
          <w:color w:val="33332E"/>
          <w:sz w:val="21"/>
          <w:szCs w:val="21"/>
        </w:rPr>
        <w:t xml:space="preserve">Create a public-facing product: exhibit panel, digital story map, annotated photo collection, or program for a heritage event.</w:t>
      </w:r>
    </w:p>
    <w:p>
      <w:pPr>
        <w:pStyle w:val="ListParagraph"/>
        <w:numPr>
          <w:ilvl w:val="0"/>
          <w:numId w:val="3"/>
        </w:numPr>
        <w:spacing w:after="90" w:line="276"/>
      </w:pPr>
      <w:r>
        <w:rPr>
          <w:rFonts w:ascii="Arial" w:cs="Arial" w:eastAsia="Arial" w:hAnsi="Arial"/>
          <w:color w:val="33332E"/>
          <w:sz w:val="21"/>
          <w:szCs w:val="21"/>
        </w:rPr>
        <w:t xml:space="preserve">Present it publicly and write a comparative reflection: what parallels and differences with today's arrivals?</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Public history product (partner keeps)</w:t>
      </w:r>
    </w:p>
    <w:p>
      <w:pPr>
        <w:pStyle w:val="ListParagraph"/>
        <w:numPr>
          <w:ilvl w:val="0"/>
          <w:numId w:val="2"/>
        </w:numPr>
        <w:spacing w:after="90" w:line="276"/>
      </w:pPr>
      <w:r>
        <w:rPr>
          <w:rFonts w:ascii="Arial" w:cs="Arial" w:eastAsia="Arial" w:hAnsi="Arial"/>
          <w:color w:val="33332E"/>
          <w:sz w:val="21"/>
          <w:szCs w:val="21"/>
        </w:rPr>
        <w:t xml:space="preserve">Oral history recordings/transcripts per partner protocol (if applicable)</w:t>
      </w:r>
    </w:p>
    <w:p>
      <w:pPr>
        <w:pStyle w:val="ListParagraph"/>
        <w:numPr>
          <w:ilvl w:val="0"/>
          <w:numId w:val="2"/>
        </w:numPr>
        <w:spacing w:after="90" w:line="276"/>
      </w:pPr>
      <w:r>
        <w:rPr>
          <w:rFonts w:ascii="Arial" w:cs="Arial" w:eastAsia="Arial" w:hAnsi="Arial"/>
          <w:color w:val="33332E"/>
          <w:sz w:val="21"/>
          <w:szCs w:val="21"/>
        </w:rPr>
        <w:t xml:space="preserve">3-page past-vs-present comparative reflection</w:t>
      </w:r>
    </w:p>
    <w:p>
      <w:pPr>
        <w:pStyle w:val="Heading2"/>
        <w:spacing w:after="120" w:before="260"/>
      </w:pPr>
      <w:r>
        <w:rPr>
          <w:rFonts w:ascii="Arial" w:cs="Arial" w:eastAsia="Arial" w:hAnsi="Arial"/>
          <w:b/>
          <w:bCs/>
          <w:color w:val="175A82"/>
          <w:sz w:val="24"/>
          <w:szCs w:val="24"/>
        </w:rPr>
        <w:t xml:space="preserve">Time commitment</w:t>
      </w:r>
    </w:p>
    <w:p>
      <w:pPr>
        <w:spacing w:after="160" w:line="276"/>
      </w:pPr>
      <w:r>
        <w:rPr>
          <w:rFonts w:ascii="Arial" w:cs="Arial" w:eastAsia="Arial" w:hAnsi="Arial"/>
          <w:color w:val="33332E"/>
          <w:sz w:val="21"/>
          <w:szCs w:val="21"/>
        </w:rPr>
        <w:t xml:space="preserve">15–18 hours.</w:t>
      </w:r>
    </w:p>
    <w:p>
      <w:pPr>
        <w:pStyle w:val="Heading2"/>
        <w:spacing w:after="120" w:before="260"/>
      </w:pPr>
      <w:r>
        <w:rPr>
          <w:rFonts w:ascii="Arial" w:cs="Arial" w:eastAsia="Arial" w:hAnsi="Arial"/>
          <w:b/>
          <w:bCs/>
          <w:color w:val="175A82"/>
          <w:sz w:val="24"/>
          <w:szCs w:val="24"/>
        </w:rPr>
        <w:t xml:space="preserve">Ethics requirements</w:t>
      </w:r>
    </w:p>
    <w:p>
      <w:pPr>
        <w:spacing w:after="160" w:line="276"/>
      </w:pPr>
      <w:r>
        <w:rPr>
          <w:rFonts w:ascii="Arial" w:cs="Arial" w:eastAsia="Arial" w:hAnsi="Arial"/>
          <w:color w:val="33332E"/>
          <w:sz w:val="21"/>
          <w:szCs w:val="21"/>
        </w:rPr>
        <w:t xml:space="preserve">Oral history consent and ownership follow the partner's protocols; narrators approve their transcripts.</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Historical accuracy and source work</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historical accuracy and source work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historical accuracy and source work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historical accuracy and source work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historical accuracy and source work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Ethical handling of oral history</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is impeccable: ethical handling of oral history is demonstrated throughout, protocols are followed without exception, and the work shows active care for the people and communities involved.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is sound: ethical handling of oral history is evident with only minor lapses that do not affect participants or partners, and all required protocols are followed.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is uneven: ethical handling of oral history is addressed but with gaps — a missed protocol step, careless handling of sensitive material, or boundary issues requiring instructor follow-up.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falls short of requirements: ethical handling of oral history is neglected in ways that required intervention or placed participants, partners, or material at risk.</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Quality of the public product</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excellent: quality of the public product is met at a standard the partner or audience can use immediately — complete, accurate, well-organized, and genuinely useful.</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good: quality of the public product is met; it is usable with minor revisions and its purpose is clearly served.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incomplete: quality of the public product is only partly met — gaps, errors, or unclear organization mean substantial revision is needed before it could be used.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inadequate: quality of the public product is not met; the product is unusable, inaccurate, or missing major required elements.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Comparative insight</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comparative insight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comparative insight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comparative insight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comparative insight is not achieved; the work describes without analyzing or draws conclusions its own material does not support.</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7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7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2026-07-21T19:52:49.370Z</dcterms:created>
  <dcterms:modified xsi:type="dcterms:W3CDTF">2026-07-21T19:52:49.370Z</dcterms:modified>
</cp:coreProperties>
</file>

<file path=docProps/custom.xml><?xml version="1.0" encoding="utf-8"?>
<Properties xmlns="http://schemas.openxmlformats.org/officeDocument/2006/custom-properties" xmlns:vt="http://schemas.openxmlformats.org/officeDocument/2006/docPropsVTypes"/>
</file>