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7: Migration Through History</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Every migration debate happening today has happened before. Students pick one historical migration episode and one contemporary parallel and write a disciplined comparison — identifying what has genuinely changed and what only looks new — so they can evaluate present-day claims with historical depth.</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historical migration patterns in the chosen episode (UG 1)</w:t>
      </w:r>
    </w:p>
    <w:p>
      <w:pPr>
        <w:pStyle w:val="ListParagraph"/>
        <w:numPr>
          <w:ilvl w:val="0"/>
          <w:numId w:val="2"/>
        </w:numPr>
        <w:spacing w:after="90" w:line="276"/>
      </w:pPr>
      <w:r>
        <w:rPr>
          <w:rFonts w:ascii="Arial" w:cs="Arial" w:eastAsia="Arial" w:hAnsi="Arial"/>
          <w:color w:val="33332E"/>
          <w:sz w:val="21"/>
          <w:szCs w:val="21"/>
        </w:rPr>
        <w:t xml:space="preserve">Compare past and present systems using an explicit framework (UG 2)</w:t>
      </w:r>
    </w:p>
    <w:p>
      <w:pPr>
        <w:pStyle w:val="ListParagraph"/>
        <w:numPr>
          <w:ilvl w:val="0"/>
          <w:numId w:val="2"/>
        </w:numPr>
        <w:spacing w:after="90" w:line="276"/>
      </w:pPr>
      <w:r>
        <w:rPr>
          <w:rFonts w:ascii="Arial" w:cs="Arial" w:eastAsia="Arial" w:hAnsi="Arial"/>
          <w:color w:val="33332E"/>
          <w:sz w:val="21"/>
          <w:szCs w:val="21"/>
        </w:rPr>
        <w:t xml:space="preserve">Identify policy shifts and their consequences across the two periods (UG 3)</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work from primary sources (period newspapers, laws, speeches, agency records) and frame the essay around continuity and rupture in migration regimes: which mechanisms persist and why (Grad 1).</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Choose a defensible pairing, e.g.: 1920s US quota laws and modern visa caps; Chinese Exclusion and contemporary travel bans; post-WWII displaced persons and today's protection system; Bracero guest workers and current temporary-labor visas; the Great Migration and internal climate displacement.</w:t>
      </w:r>
    </w:p>
    <w:p>
      <w:pPr>
        <w:pStyle w:val="ListParagraph"/>
        <w:numPr>
          <w:ilvl w:val="0"/>
          <w:numId w:val="3"/>
        </w:numPr>
        <w:spacing w:after="90" w:line="276"/>
      </w:pPr>
      <w:r>
        <w:rPr>
          <w:rFonts w:ascii="Arial" w:cs="Arial" w:eastAsia="Arial" w:hAnsi="Arial"/>
          <w:color w:val="33332E"/>
          <w:sz w:val="21"/>
          <w:szCs w:val="21"/>
        </w:rPr>
        <w:t xml:space="preserve">Research both cases — the historical one with at least two primary sources (graduate: four), the contemporary one with current data and policy documents.</w:t>
      </w:r>
    </w:p>
    <w:p>
      <w:pPr>
        <w:pStyle w:val="ListParagraph"/>
        <w:numPr>
          <w:ilvl w:val="0"/>
          <w:numId w:val="3"/>
        </w:numPr>
        <w:spacing w:after="90" w:line="276"/>
      </w:pPr>
      <w:r>
        <w:rPr>
          <w:rFonts w:ascii="Arial" w:cs="Arial" w:eastAsia="Arial" w:hAnsi="Arial"/>
          <w:color w:val="33332E"/>
          <w:sz w:val="21"/>
          <w:szCs w:val="21"/>
        </w:rPr>
        <w:t xml:space="preserve">Build an explicit comparison framework of 3–4 dimensions (e.g., who was excluded and how; the public rhetoric used; enforcement machinery; economic role of the migrants).</w:t>
      </w:r>
    </w:p>
    <w:p>
      <w:pPr>
        <w:pStyle w:val="ListParagraph"/>
        <w:numPr>
          <w:ilvl w:val="0"/>
          <w:numId w:val="3"/>
        </w:numPr>
        <w:spacing w:after="90" w:line="276"/>
      </w:pPr>
      <w:r>
        <w:rPr>
          <w:rFonts w:ascii="Arial" w:cs="Arial" w:eastAsia="Arial" w:hAnsi="Arial"/>
          <w:color w:val="33332E"/>
          <w:sz w:val="21"/>
          <w:szCs w:val="21"/>
        </w:rPr>
        <w:t xml:space="preserve">Write the essay AS a comparison throughout — not two summaries stapled together; every section must hold both cases.</w:t>
      </w:r>
    </w:p>
    <w:p>
      <w:pPr>
        <w:pStyle w:val="ListParagraph"/>
        <w:numPr>
          <w:ilvl w:val="0"/>
          <w:numId w:val="3"/>
        </w:numPr>
        <w:spacing w:after="90" w:line="276"/>
      </w:pPr>
      <w:r>
        <w:rPr>
          <w:rFonts w:ascii="Arial" w:cs="Arial" w:eastAsia="Arial" w:hAnsi="Arial"/>
          <w:color w:val="33332E"/>
          <w:sz w:val="21"/>
          <w:szCs w:val="21"/>
        </w:rPr>
        <w:t xml:space="preserve">Conclude with judgment: what does the historical case predict about the contemporary one, and where does the analogy break down?</w:t>
      </w:r>
    </w:p>
    <w:p>
      <w:pPr>
        <w:pStyle w:val="ListParagraph"/>
        <w:numPr>
          <w:ilvl w:val="0"/>
          <w:numId w:val="3"/>
        </w:numPr>
        <w:spacing w:after="90" w:line="276"/>
      </w:pPr>
      <w:r>
        <w:rPr>
          <w:rFonts w:ascii="Arial" w:cs="Arial" w:eastAsia="Arial" w:hAnsi="Arial"/>
          <w:color w:val="33332E"/>
          <w:sz w:val="21"/>
          <w:szCs w:val="21"/>
        </w:rPr>
        <w:t xml:space="preserve">Bring one primary source to seminar and present it in three minutes: what it is, who wrote it, what it reveals.</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Comparative essay, 1,800–2,200 words (graduate: 3,000+, primary-source based, continuity/rupture framing)</w:t>
      </w:r>
    </w:p>
    <w:p>
      <w:pPr>
        <w:pStyle w:val="ListParagraph"/>
        <w:numPr>
          <w:ilvl w:val="0"/>
          <w:numId w:val="2"/>
        </w:numPr>
        <w:spacing w:after="90" w:line="276"/>
      </w:pPr>
      <w:r>
        <w:rPr>
          <w:rFonts w:ascii="Arial" w:cs="Arial" w:eastAsia="Arial" w:hAnsi="Arial"/>
          <w:color w:val="33332E"/>
          <w:sz w:val="21"/>
          <w:szCs w:val="21"/>
        </w:rPr>
        <w:t xml:space="preserve">Comparison framework table (one page)</w:t>
      </w:r>
    </w:p>
    <w:p>
      <w:pPr>
        <w:pStyle w:val="ListParagraph"/>
        <w:numPr>
          <w:ilvl w:val="0"/>
          <w:numId w:val="2"/>
        </w:numPr>
        <w:spacing w:after="90" w:line="276"/>
      </w:pPr>
      <w:r>
        <w:rPr>
          <w:rFonts w:ascii="Arial" w:cs="Arial" w:eastAsia="Arial" w:hAnsi="Arial"/>
          <w:color w:val="33332E"/>
          <w:sz w:val="21"/>
          <w:szCs w:val="21"/>
        </w:rPr>
        <w:t xml:space="preserve">Annotated source list separating primary and secondary sources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Historical accuracy and source quality</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historical accuracy and source quality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historical accuracy and source quality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historical accuracy and source quality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historical accuracy and source quality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Rigor of the comparison — parallel treatment throughout</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rigor of the comparison — parallel treatment throughout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rigor of the comparison — parallel treatment throughout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rigor of the comparison — parallel treatment throughout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rigor of the comparison — parallel treatment throughout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Insight on continuity vs. change, including where the analogy fails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insight on continuity vs. change, including where the analogy fails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insight on continuity vs. change, including where the analogy fails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insight on continuity vs. change, including where the analogy fails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insight on continuity vs. change, including where the analogy fails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Writing and citation</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writing and citation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writing and citation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writing and citation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writing and citation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7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7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2026-07-21T19:52:49.365Z</dcterms:created>
  <dcterms:modified xsi:type="dcterms:W3CDTF">2026-07-21T19:52:49.365Z</dcterms:modified>
</cp:coreProperties>
</file>

<file path=docProps/custom.xml><?xml version="1.0" encoding="utf-8"?>
<Properties xmlns="http://schemas.openxmlformats.org/officeDocument/2006/custom-properties" xmlns:vt="http://schemas.openxmlformats.org/officeDocument/2006/docPropsVTypes"/>
</file>