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8: Migration Journey and Experience</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Caring for the Journey: How Providers Use Trauma-Informed Frameworks</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A qualitative study interviewing service providers (not survivors) about how trauma-informed care frameworks guide — and where they fail — their work with people who have experienced difficult migration journeys.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Evaluate trauma-informed frameworks (Grad 1)</w:t>
      </w:r>
    </w:p>
    <w:p>
      <w:pPr>
        <w:pStyle w:val="ListParagraph"/>
        <w:numPr>
          <w:ilvl w:val="0"/>
          <w:numId w:val="2"/>
        </w:numPr>
        <w:spacing w:after="90" w:line="276"/>
      </w:pPr>
      <w:r>
        <w:rPr>
          <w:rFonts w:ascii="Arial" w:cs="Arial" w:eastAsia="Arial" w:hAnsi="Arial"/>
          <w:color w:val="33332E"/>
          <w:sz w:val="21"/>
          <w:szCs w:val="21"/>
        </w:rPr>
        <w:t xml:space="preserve">Apply ethical engagement principles in research design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How do frontline providers translate trauma-informed principles into daily practice with newcomers?</w:t>
      </w:r>
    </w:p>
    <w:p>
      <w:pPr>
        <w:pStyle w:val="ListParagraph"/>
        <w:numPr>
          <w:ilvl w:val="0"/>
          <w:numId w:val="2"/>
        </w:numPr>
        <w:spacing w:after="90" w:line="276"/>
      </w:pPr>
      <w:r>
        <w:rPr>
          <w:rFonts w:ascii="Arial" w:cs="Arial" w:eastAsia="Arial" w:hAnsi="Arial"/>
          <w:color w:val="33332E"/>
          <w:sz w:val="21"/>
          <w:szCs w:val="21"/>
        </w:rPr>
        <w:t xml:space="preserve">Where do standard frameworks fit poorly — cultural assumptions, gendered experiences, children's needs?</w:t>
      </w:r>
    </w:p>
    <w:p>
      <w:pPr>
        <w:pStyle w:val="ListParagraph"/>
        <w:numPr>
          <w:ilvl w:val="0"/>
          <w:numId w:val="2"/>
        </w:numPr>
        <w:spacing w:after="90" w:line="276"/>
      </w:pPr>
      <w:r>
        <w:rPr>
          <w:rFonts w:ascii="Arial" w:cs="Arial" w:eastAsia="Arial" w:hAnsi="Arial"/>
          <w:color w:val="33332E"/>
          <w:sz w:val="21"/>
          <w:szCs w:val="21"/>
        </w:rPr>
        <w:t xml:space="preserve">What adaptations have practitioners developed that the literature hasn't captured?</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Semi-structured interviews with 4–6 providers (caseworkers, clinicians, program staff), thematically coded, analyzed against published trauma-informed care frameworks (e.g., SAMHSA principles) and the refugee mental health literature. Interviewing providers rather than survivors is a deliberate ethical design choice.</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REQUIRED. Submit before any recruitment; provider interviews typically qualify for expedited review. Include consent forms and de-identification plan.</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IRB protocol (graded milestone)</w:t>
      </w:r>
    </w:p>
    <w:p>
      <w:pPr>
        <w:pStyle w:val="ListParagraph"/>
        <w:numPr>
          <w:ilvl w:val="0"/>
          <w:numId w:val="2"/>
        </w:numPr>
        <w:spacing w:after="90" w:line="276"/>
      </w:pPr>
      <w:r>
        <w:rPr>
          <w:rFonts w:ascii="Arial" w:cs="Arial" w:eastAsia="Arial" w:hAnsi="Arial"/>
          <w:color w:val="33332E"/>
          <w:sz w:val="21"/>
          <w:szCs w:val="21"/>
        </w:rPr>
        <w:t xml:space="preserve">4,500-word qualitative analysis with coded themes</w:t>
      </w:r>
    </w:p>
    <w:p>
      <w:pPr>
        <w:pStyle w:val="ListParagraph"/>
        <w:numPr>
          <w:ilvl w:val="0"/>
          <w:numId w:val="2"/>
        </w:numPr>
        <w:spacing w:after="90" w:line="276"/>
      </w:pPr>
      <w:r>
        <w:rPr>
          <w:rFonts w:ascii="Arial" w:cs="Arial" w:eastAsia="Arial" w:hAnsi="Arial"/>
          <w:color w:val="33332E"/>
          <w:sz w:val="21"/>
          <w:szCs w:val="21"/>
        </w:rPr>
        <w:t xml:space="preserve">Practitioner-facing summary of findings (1–2 pages)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Ethical rigor of the design and IRB protocol</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impeccable: ethical rigor of the design and IRB protocol is demonstrated throughout, protocols are followed without exception, and the work shows active care for the people and communities involved.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sound: ethical rigor of the design and IRB protocol is evident with only minor lapses that do not affect participants or partners, and all required protocols are followed.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uneven: ethical rigor of the design and IRB protocol is addressed but with gaps — a missed protocol step, careless handling of sensitive material, or boundary issues requiring instructor follow-up.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falls short of requirements: ethical rigor of the design and IRB protocol is neglected in ways that required intervention or placed participants, partners, or material at risk.</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Interview and coding quality</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rigorous and transparent: interview and coding quality is fully documented, choices are justified, limitations are stated, and another student could replicate the work from what is written.</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sound: interview and coding quality is documented and mostly justified, with limitations acknowledged; small gaps would not change the findings.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partial: interview and coding quality is described but under-documented or inconsistently applied, leaving findings plausible but not checkable.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absent or unsound: interview and coding quality is missing, undocumented, or applied so loosely that the findings cannot be trusted.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Critical evaluation of frameworks against field reality</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critical evaluation of frameworks against field reality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critical evaluation of frameworks against field reality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critical evaluation of frameworks against field reality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critical evaluation of frameworks against field reality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Practitioner summary usefulness</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excellent: practitioner summary usefulness is met at a standard the partner or audience can use immediately — complete, accurate, well-organized, and genuinely useful.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good: practitioner summary usefulness is met; it is usable with minor revisions and its purpose is clearly served.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incomplete: practitioner summary usefulness is only partly met — gaps, errors, or unclear organization mean substantial revision is needed before it could be used.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inadequate: practitioner summary usefulness is not met; the product is unusable, inaccurate, or missing major required elements.</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8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8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2026-07-21T19:52:49.398Z</dcterms:created>
  <dcterms:modified xsi:type="dcterms:W3CDTF">2026-07-21T19:52:49.398Z</dcterms:modified>
</cp:coreProperties>
</file>

<file path=docProps/custom.xml><?xml version="1.0" encoding="utf-8"?>
<Properties xmlns="http://schemas.openxmlformats.org/officeDocument/2006/custom-properties" xmlns:vt="http://schemas.openxmlformats.org/officeDocument/2006/docPropsVTypes"/>
</file>