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8: Migration Journey and Experience</w:t>
      </w:r>
    </w:p>
    <w:p>
      <w:pPr>
        <w:spacing w:after="60"/>
      </w:pPr>
      <w:r>
        <w:rPr>
          <w:rFonts w:ascii="Arial" w:cs="Arial" w:eastAsia="Arial" w:hAnsi="Arial"/>
          <w:b/>
          <w:bCs/>
          <w:color w:val="175A82"/>
          <w:sz w:val="22"/>
          <w:szCs w:val="22"/>
        </w:rPr>
        <w:t xml:space="preserve">Service Learning Project</w:t>
      </w:r>
    </w:p>
    <w:p>
      <w:pPr>
        <w:pBdr>
          <w:bottom w:val="single" w:color="E7F2F9" w:sz="6" w:space="6"/>
        </w:pBdr>
        <w:spacing w:after="220"/>
      </w:pPr>
      <w:r>
        <w:rPr>
          <w:rFonts w:ascii="Arial" w:cs="Arial" w:eastAsia="Arial" w:hAnsi="Arial"/>
          <w:b/>
          <w:bCs/>
          <w:i/>
          <w:iCs/>
          <w:color w:val="33332E"/>
          <w:sz w:val="25"/>
          <w:szCs w:val="25"/>
        </w:rPr>
        <w:t xml:space="preserve">Accompaniment: Trauma-Informed Support for Newcomer Programs</w:t>
      </w:r>
    </w:p>
    <w:p>
      <w:pPr>
        <w:pStyle w:val="Heading2"/>
        <w:spacing w:after="120" w:before="260"/>
      </w:pPr>
      <w:r>
        <w:rPr>
          <w:rFonts w:ascii="Arial" w:cs="Arial" w:eastAsia="Arial" w:hAnsi="Arial"/>
          <w:b/>
          <w:bCs/>
          <w:color w:val="175A82"/>
          <w:sz w:val="24"/>
          <w:szCs w:val="24"/>
        </w:rPr>
        <w:t xml:space="preserve">Overview</w:t>
      </w:r>
    </w:p>
    <w:p>
      <w:pPr>
        <w:spacing w:after="160" w:line="276"/>
      </w:pPr>
      <w:r>
        <w:rPr>
          <w:rFonts w:ascii="Arial" w:cs="Arial" w:eastAsia="Arial" w:hAnsi="Arial"/>
          <w:color w:val="33332E"/>
          <w:sz w:val="21"/>
          <w:szCs w:val="21"/>
        </w:rPr>
        <w:t xml:space="preserve">After trauma-informed practice training, serve in accompaniment and welcome roles with an organization supporting people who have recently completed difficult migration journeys.</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Describe migration stages through service context (UG 1)</w:t>
      </w:r>
    </w:p>
    <w:p>
      <w:pPr>
        <w:pStyle w:val="ListParagraph"/>
        <w:numPr>
          <w:ilvl w:val="0"/>
          <w:numId w:val="2"/>
        </w:numPr>
        <w:spacing w:after="90" w:line="276"/>
      </w:pPr>
      <w:r>
        <w:rPr>
          <w:rFonts w:ascii="Arial" w:cs="Arial" w:eastAsia="Arial" w:hAnsi="Arial"/>
          <w:color w:val="33332E"/>
          <w:sz w:val="21"/>
          <w:szCs w:val="21"/>
        </w:rPr>
        <w:t xml:space="preserve">Identify risks migrants face en route and on arrival (UG 2)</w:t>
      </w:r>
    </w:p>
    <w:p>
      <w:pPr>
        <w:pStyle w:val="ListParagraph"/>
        <w:numPr>
          <w:ilvl w:val="0"/>
          <w:numId w:val="2"/>
        </w:numPr>
        <w:spacing w:after="90" w:line="276"/>
      </w:pPr>
      <w:r>
        <w:rPr>
          <w:rFonts w:ascii="Arial" w:cs="Arial" w:eastAsia="Arial" w:hAnsi="Arial"/>
          <w:color w:val="33332E"/>
          <w:sz w:val="21"/>
          <w:szCs w:val="21"/>
        </w:rPr>
        <w:t xml:space="preserve">Explain emotional impacts without eliciting them (UG 3)</w:t>
      </w:r>
    </w:p>
    <w:p>
      <w:pPr>
        <w:pStyle w:val="ListParagraph"/>
        <w:numPr>
          <w:ilvl w:val="0"/>
          <w:numId w:val="2"/>
        </w:numPr>
        <w:spacing w:after="90" w:line="276"/>
      </w:pPr>
      <w:r>
        <w:rPr>
          <w:rFonts w:ascii="Arial" w:cs="Arial" w:eastAsia="Arial" w:hAnsi="Arial"/>
          <w:color w:val="33332E"/>
          <w:sz w:val="21"/>
          <w:szCs w:val="21"/>
        </w:rPr>
        <w:t xml:space="preserve">Recognize vulnerable groups and appropriate support (UG 4)</w:t>
      </w:r>
    </w:p>
    <w:p>
      <w:pPr>
        <w:pStyle w:val="Heading2"/>
        <w:spacing w:after="120" w:before="260"/>
      </w:pPr>
      <w:r>
        <w:rPr>
          <w:rFonts w:ascii="Arial" w:cs="Arial" w:eastAsia="Arial" w:hAnsi="Arial"/>
          <w:b/>
          <w:bCs/>
          <w:color w:val="175A82"/>
          <w:sz w:val="24"/>
          <w:szCs w:val="24"/>
        </w:rPr>
        <w:t xml:space="preserve">Suggested community partners</w:t>
      </w:r>
    </w:p>
    <w:p>
      <w:pPr>
        <w:pStyle w:val="ListParagraph"/>
        <w:numPr>
          <w:ilvl w:val="0"/>
          <w:numId w:val="2"/>
        </w:numPr>
        <w:spacing w:after="90" w:line="276"/>
      </w:pPr>
      <w:r>
        <w:rPr>
          <w:rFonts w:ascii="Arial" w:cs="Arial" w:eastAsia="Arial" w:hAnsi="Arial"/>
          <w:color w:val="33332E"/>
          <w:sz w:val="21"/>
          <w:szCs w:val="21"/>
        </w:rPr>
        <w:t xml:space="preserve">Organizations serving recently arrived families (ALAS-model programs)</w:t>
      </w:r>
    </w:p>
    <w:p>
      <w:pPr>
        <w:pStyle w:val="ListParagraph"/>
        <w:numPr>
          <w:ilvl w:val="0"/>
          <w:numId w:val="2"/>
        </w:numPr>
        <w:spacing w:after="90" w:line="276"/>
      </w:pPr>
      <w:r>
        <w:rPr>
          <w:rFonts w:ascii="Arial" w:cs="Arial" w:eastAsia="Arial" w:hAnsi="Arial"/>
          <w:color w:val="33332E"/>
          <w:sz w:val="21"/>
          <w:szCs w:val="21"/>
        </w:rPr>
        <w:t xml:space="preserve">Newcomer youth programs (art, recreation, homework help)</w:t>
      </w:r>
    </w:p>
    <w:p>
      <w:pPr>
        <w:pStyle w:val="ListParagraph"/>
        <w:numPr>
          <w:ilvl w:val="0"/>
          <w:numId w:val="2"/>
        </w:numPr>
        <w:spacing w:after="90" w:line="276"/>
      </w:pPr>
      <w:r>
        <w:rPr>
          <w:rFonts w:ascii="Arial" w:cs="Arial" w:eastAsia="Arial" w:hAnsi="Arial"/>
          <w:color w:val="33332E"/>
          <w:sz w:val="21"/>
          <w:szCs w:val="21"/>
        </w:rPr>
        <w:t xml:space="preserve">Hospital or clinic navigation programs for new arrivals</w:t>
      </w:r>
    </w:p>
    <w:p>
      <w:pPr>
        <w:pStyle w:val="ListParagraph"/>
        <w:numPr>
          <w:ilvl w:val="0"/>
          <w:numId w:val="2"/>
        </w:numPr>
        <w:spacing w:after="90" w:line="276"/>
      </w:pPr>
      <w:r>
        <w:rPr>
          <w:rFonts w:ascii="Arial" w:cs="Arial" w:eastAsia="Arial" w:hAnsi="Arial"/>
          <w:color w:val="33332E"/>
          <w:sz w:val="21"/>
          <w:szCs w:val="21"/>
        </w:rPr>
        <w:t xml:space="preserve">Shelter or transitional housing welcome programs</w:t>
      </w:r>
    </w:p>
    <w:p>
      <w:pPr>
        <w:pStyle w:val="Heading2"/>
        <w:spacing w:after="120" w:before="260"/>
      </w:pPr>
      <w:r>
        <w:rPr>
          <w:rFonts w:ascii="Arial" w:cs="Arial" w:eastAsia="Arial" w:hAnsi="Arial"/>
          <w:b/>
          <w:bCs/>
          <w:color w:val="175A82"/>
          <w:sz w:val="24"/>
          <w:szCs w:val="24"/>
        </w:rPr>
        <w:t xml:space="preserve">Project steps</w:t>
      </w:r>
    </w:p>
    <w:p>
      <w:pPr>
        <w:pStyle w:val="ListParagraph"/>
        <w:numPr>
          <w:ilvl w:val="0"/>
          <w:numId w:val="3"/>
        </w:numPr>
        <w:spacing w:after="90" w:line="276"/>
      </w:pPr>
      <w:r>
        <w:rPr>
          <w:rFonts w:ascii="Arial" w:cs="Arial" w:eastAsia="Arial" w:hAnsi="Arial"/>
          <w:color w:val="33332E"/>
          <w:sz w:val="21"/>
          <w:szCs w:val="21"/>
        </w:rPr>
        <w:t xml:space="preserve">Complete mandatory trauma-informed engagement training before any community contact (provided in-course or by partner).</w:t>
      </w:r>
    </w:p>
    <w:p>
      <w:pPr>
        <w:pStyle w:val="ListParagraph"/>
        <w:numPr>
          <w:ilvl w:val="0"/>
          <w:numId w:val="3"/>
        </w:numPr>
        <w:spacing w:after="90" w:line="276"/>
      </w:pPr>
      <w:r>
        <w:rPr>
          <w:rFonts w:ascii="Arial" w:cs="Arial" w:eastAsia="Arial" w:hAnsi="Arial"/>
          <w:color w:val="33332E"/>
          <w:sz w:val="21"/>
          <w:szCs w:val="21"/>
        </w:rPr>
        <w:t xml:space="preserve">Serve in low-pressure, presence-based roles: children's activities, welcome kits, transportation help, recreation programs.</w:t>
      </w:r>
    </w:p>
    <w:p>
      <w:pPr>
        <w:pStyle w:val="ListParagraph"/>
        <w:numPr>
          <w:ilvl w:val="0"/>
          <w:numId w:val="3"/>
        </w:numPr>
        <w:spacing w:after="90" w:line="276"/>
      </w:pPr>
      <w:r>
        <w:rPr>
          <w:rFonts w:ascii="Arial" w:cs="Arial" w:eastAsia="Arial" w:hAnsi="Arial"/>
          <w:color w:val="33332E"/>
          <w:sz w:val="21"/>
          <w:szCs w:val="21"/>
        </w:rPr>
        <w:t xml:space="preserve">Keep a reflective practice journal focused on your own responses and skills — never on eliciting others' stories.</w:t>
      </w:r>
    </w:p>
    <w:p>
      <w:pPr>
        <w:pStyle w:val="ListParagraph"/>
        <w:numPr>
          <w:ilvl w:val="0"/>
          <w:numId w:val="3"/>
        </w:numPr>
        <w:spacing w:after="90" w:line="276"/>
      </w:pPr>
      <w:r>
        <w:rPr>
          <w:rFonts w:ascii="Arial" w:cs="Arial" w:eastAsia="Arial" w:hAnsi="Arial"/>
          <w:color w:val="33332E"/>
          <w:sz w:val="21"/>
          <w:szCs w:val="21"/>
        </w:rPr>
        <w:t xml:space="preserve">Build a 'journey-stage service map' of local organizations serving people at arrival, adjustment, and integration stages.</w:t>
      </w:r>
    </w:p>
    <w:p>
      <w:pPr>
        <w:pStyle w:val="ListParagraph"/>
        <w:numPr>
          <w:ilvl w:val="0"/>
          <w:numId w:val="3"/>
        </w:numPr>
        <w:spacing w:after="90" w:line="276"/>
      </w:pPr>
      <w:r>
        <w:rPr>
          <w:rFonts w:ascii="Arial" w:cs="Arial" w:eastAsia="Arial" w:hAnsi="Arial"/>
          <w:color w:val="33332E"/>
          <w:sz w:val="21"/>
          <w:szCs w:val="21"/>
        </w:rPr>
        <w:t xml:space="preserve">Debrief regularly with the site supervisor; practice boundaries and self-care.</w:t>
      </w:r>
    </w:p>
    <w:p>
      <w:pPr>
        <w:pStyle w:val="ListParagraph"/>
        <w:numPr>
          <w:ilvl w:val="0"/>
          <w:numId w:val="3"/>
        </w:numPr>
        <w:spacing w:after="90" w:line="276"/>
      </w:pPr>
      <w:r>
        <w:rPr>
          <w:rFonts w:ascii="Arial" w:cs="Arial" w:eastAsia="Arial" w:hAnsi="Arial"/>
          <w:color w:val="33332E"/>
          <w:sz w:val="21"/>
          <w:szCs w:val="21"/>
        </w:rPr>
        <w:t xml:space="preserve">Final reflection: how trauma-informed principles change what 'helping' means.</w:t>
      </w:r>
    </w:p>
    <w:p>
      <w:pPr>
        <w:pStyle w:val="Heading2"/>
        <w:spacing w:after="120" w:before="260"/>
      </w:pPr>
      <w:r>
        <w:rPr>
          <w:rFonts w:ascii="Arial" w:cs="Arial" w:eastAsia="Arial" w:hAnsi="Arial"/>
          <w:b/>
          <w:bCs/>
          <w:color w:val="175A82"/>
          <w:sz w:val="24"/>
          <w:szCs w:val="24"/>
        </w:rPr>
        <w:t xml:space="preserve">Deliverables</w:t>
      </w:r>
    </w:p>
    <w:p>
      <w:pPr>
        <w:pStyle w:val="ListParagraph"/>
        <w:numPr>
          <w:ilvl w:val="0"/>
          <w:numId w:val="2"/>
        </w:numPr>
        <w:spacing w:after="90" w:line="276"/>
      </w:pPr>
      <w:r>
        <w:rPr>
          <w:rFonts w:ascii="Arial" w:cs="Arial" w:eastAsia="Arial" w:hAnsi="Arial"/>
          <w:color w:val="33332E"/>
          <w:sz w:val="21"/>
          <w:szCs w:val="21"/>
        </w:rPr>
        <w:t xml:space="preserve">Reflective practice journal (5+ entries)</w:t>
      </w:r>
    </w:p>
    <w:p>
      <w:pPr>
        <w:pStyle w:val="ListParagraph"/>
        <w:numPr>
          <w:ilvl w:val="0"/>
          <w:numId w:val="2"/>
        </w:numPr>
        <w:spacing w:after="90" w:line="276"/>
      </w:pPr>
      <w:r>
        <w:rPr>
          <w:rFonts w:ascii="Arial" w:cs="Arial" w:eastAsia="Arial" w:hAnsi="Arial"/>
          <w:color w:val="33332E"/>
          <w:sz w:val="21"/>
          <w:szCs w:val="21"/>
        </w:rPr>
        <w:t xml:space="preserve">Journey-stage service map (partner keeps)</w:t>
      </w:r>
    </w:p>
    <w:p>
      <w:pPr>
        <w:pStyle w:val="ListParagraph"/>
        <w:numPr>
          <w:ilvl w:val="0"/>
          <w:numId w:val="2"/>
        </w:numPr>
        <w:spacing w:after="90" w:line="276"/>
      </w:pPr>
      <w:r>
        <w:rPr>
          <w:rFonts w:ascii="Arial" w:cs="Arial" w:eastAsia="Arial" w:hAnsi="Arial"/>
          <w:color w:val="33332E"/>
          <w:sz w:val="21"/>
          <w:szCs w:val="21"/>
        </w:rPr>
        <w:t xml:space="preserve">3-page final reflection on trauma-informed practice</w:t>
      </w:r>
    </w:p>
    <w:p>
      <w:pPr>
        <w:pStyle w:val="Heading2"/>
        <w:spacing w:after="120" w:before="260"/>
      </w:pPr>
      <w:r>
        <w:rPr>
          <w:rFonts w:ascii="Arial" w:cs="Arial" w:eastAsia="Arial" w:hAnsi="Arial"/>
          <w:b/>
          <w:bCs/>
          <w:color w:val="175A82"/>
          <w:sz w:val="24"/>
          <w:szCs w:val="24"/>
        </w:rPr>
        <w:t xml:space="preserve">Time commitment</w:t>
      </w:r>
    </w:p>
    <w:p>
      <w:pPr>
        <w:spacing w:after="160" w:line="276"/>
      </w:pPr>
      <w:r>
        <w:rPr>
          <w:rFonts w:ascii="Arial" w:cs="Arial" w:eastAsia="Arial" w:hAnsi="Arial"/>
          <w:color w:val="33332E"/>
          <w:sz w:val="21"/>
          <w:szCs w:val="21"/>
        </w:rPr>
        <w:t xml:space="preserve">16–18 hours plus training.</w:t>
      </w:r>
    </w:p>
    <w:p>
      <w:pPr>
        <w:pStyle w:val="Heading2"/>
        <w:spacing w:after="120" w:before="260"/>
      </w:pPr>
      <w:r>
        <w:rPr>
          <w:rFonts w:ascii="Arial" w:cs="Arial" w:eastAsia="Arial" w:hAnsi="Arial"/>
          <w:b/>
          <w:bCs/>
          <w:color w:val="175A82"/>
          <w:sz w:val="24"/>
          <w:szCs w:val="24"/>
        </w:rPr>
        <w:t xml:space="preserve">Ethics requirements</w:t>
      </w:r>
    </w:p>
    <w:p>
      <w:pPr>
        <w:spacing w:after="160" w:line="276"/>
      </w:pPr>
      <w:r>
        <w:rPr>
          <w:rFonts w:ascii="Arial" w:cs="Arial" w:eastAsia="Arial" w:hAnsi="Arial"/>
          <w:color w:val="33332E"/>
          <w:sz w:val="21"/>
          <w:szCs w:val="21"/>
        </w:rPr>
        <w:t xml:space="preserve">Students never solicit migration or trauma narratives. If someone chooses to share, students listen respectfully and follow the partner's response protocol. Mandatory training precedes all contact.</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Demonstrated trauma-informed conduct, per supervisor feedback</w:t>
            </w:r>
          </w:p>
          <w:p>
            <w:pPr>
              <w:spacing w:after="40" w:line="250"/>
            </w:pPr>
            <w:r>
              <w:rPr>
                <w:rFonts w:ascii="Arial" w:cs="Arial" w:eastAsia="Arial" w:hAnsi="Arial"/>
                <w:b/>
                <w:bCs/>
                <w:color w:val="175A82"/>
                <w:sz w:val="18"/>
                <w:szCs w:val="18"/>
              </w:rPr>
              <w:t xml:space="preserve">35%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Conduct is impeccable: demonstrated trauma-informed conduct, per supervisor feedback is demonstrated throughout, protocols are followed without exception, and the work shows active care for the people and communities involved.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Conduct is sound: demonstrated trauma-informed conduct, per supervisor feedback is evident with only minor lapses that do not affect participants or partners, and all required protocols are followed.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Conduct is uneven: demonstrated trauma-informed conduct, per supervisor feedback is addressed but with gaps — a missed protocol step, careless handling of sensitive material, or boundary issues requiring instructor follow-up.</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Conduct falls short of requirements: demonstrated trauma-informed conduct, per supervisor feedback is neglected in ways that required intervention or placed participants, partners, or material at risk.</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Consistency and reliability of service</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Exceptional professionalism: consistency and reliability of service is confirmed by strong partner or site feedback; the student was consistently prepared, dependable, and left the partner concretely better off.</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Solid professionalism: consistency and reliability of service is confirmed by positive partner feedback; commitments were met with only minor scheduling or preparation issues.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Inconsistent professionalism: consistency and reliability of service is partially met — missed sessions, uneven preparation, or partner feedback indicating the student required significant management.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Inadequate professionalism: consistency and reliability of service is not met; commitments were unmet or the partner's experience was negative.</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Quality of the service map</w:t>
            </w:r>
          </w:p>
          <w:p>
            <w:pPr>
              <w:spacing w:after="40" w:line="250"/>
            </w:pPr>
            <w:r>
              <w:rPr>
                <w:rFonts w:ascii="Arial" w:cs="Arial" w:eastAsia="Arial" w:hAnsi="Arial"/>
                <w:b/>
                <w:bCs/>
                <w:color w:val="175A82"/>
                <w:sz w:val="18"/>
                <w:szCs w:val="18"/>
              </w:rPr>
              <w:t xml:space="preserve">20%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excellent: quality of the service map is met at a standard the partner or audience can use immediately — complete, accurate, well-organized, and genuinely useful.</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good: quality of the service map is met; it is usable with minor revisions and its purpose is clearly served.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incomplete: quality of the service map is only partly met — gaps, errors, or unclear organization mean substantial revision is needed before it could be used.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inadequate: quality of the service map is not met; the product is unusable, inaccurate, or missing major required elements.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Reflection depth</w:t>
            </w:r>
          </w:p>
          <w:p>
            <w:pPr>
              <w:spacing w:after="40" w:line="250"/>
            </w:pPr>
            <w:r>
              <w:rPr>
                <w:rFonts w:ascii="Arial" w:cs="Arial" w:eastAsia="Arial" w:hAnsi="Arial"/>
                <w:b/>
                <w:bCs/>
                <w:color w:val="175A82"/>
                <w:sz w:val="18"/>
                <w:szCs w:val="18"/>
              </w:rPr>
              <w:t xml:space="preserve">20%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Reflection is genuinely self-examining: reflection depth shows specific assumptions confronted with evidence, real change or evidenced confirmation, and questions that extend beyond the assignment.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Reflection is substantive: reflection depth shows honest engagement with the student's own thinking, supported by course material, with occasional generality.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Reflection is surface-level: reflection depth is attempted but stays safe or generic — conclusions asserted rather than examined, little connection to evidence.</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Reflection is performative or missing: reflection depth shows no genuine self-examination or contradicts the evidence presented.</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8 · Service Learning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8 · Service Learning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2026-07-21T19:52:49.386Z</dcterms:created>
  <dcterms:modified xsi:type="dcterms:W3CDTF">2026-07-21T19:52:49.386Z</dcterms:modified>
</cp:coreProperties>
</file>

<file path=docProps/custom.xml><?xml version="1.0" encoding="utf-8"?>
<Properties xmlns="http://schemas.openxmlformats.org/officeDocument/2006/custom-properties" xmlns:vt="http://schemas.openxmlformats.org/officeDocument/2006/docPropsVTypes"/>
</file>