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8: Migration Journey and Experience</w:t>
      </w:r>
    </w:p>
    <w:p>
      <w:pPr>
        <w:pBdr>
          <w:bottom w:val="single" w:color="E7F2F9" w:sz="6" w:space="6"/>
        </w:pBdr>
        <w:spacing w:after="220"/>
      </w:pPr>
      <w:r>
        <w:rPr>
          <w:rFonts w:ascii="Arial" w:cs="Arial" w:eastAsia="Arial" w:hAnsi="Arial"/>
          <w:b/>
          <w:bCs/>
          <w:color w:val="175A82"/>
          <w:sz w:val="22"/>
          <w:szCs w:val="22"/>
        </w:rPr>
        <w:t xml:space="preserve">Signature Learning Experience</w:t>
      </w:r>
    </w:p>
    <w:p>
      <w:pPr>
        <w:pStyle w:val="Heading2"/>
        <w:spacing w:after="120" w:before="260"/>
      </w:pPr>
      <w:r>
        <w:rPr>
          <w:rFonts w:ascii="Arial" w:cs="Arial" w:eastAsia="Arial" w:hAnsi="Arial"/>
          <w:b/>
          <w:bCs/>
          <w:color w:val="175A82"/>
          <w:sz w:val="24"/>
          <w:szCs w:val="24"/>
        </w:rPr>
        <w:t xml:space="preserve">Purpose</w:t>
      </w:r>
    </w:p>
    <w:p>
      <w:pPr>
        <w:spacing w:after="160" w:line="276"/>
      </w:pPr>
      <w:r>
        <w:rPr>
          <w:rFonts w:ascii="Arial" w:cs="Arial" w:eastAsia="Arial" w:hAnsi="Arial"/>
          <w:color w:val="33332E"/>
          <w:sz w:val="21"/>
          <w:szCs w:val="21"/>
        </w:rPr>
        <w:t xml:space="preserve">This module's material is human, not abstract, so its assignment centers real journeys — analyzed ethically. Students work with published first-person narratives (memoirs, oral history archives, documentary testimony) or, with training and consent protocols, an original interview, and analyze one journey through the module's frameworks: stages, risks, trauma, resilience.</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Describe the stages of migration visible in a real narrative (UG 1)</w:t>
      </w:r>
    </w:p>
    <w:p>
      <w:pPr>
        <w:pStyle w:val="ListParagraph"/>
        <w:numPr>
          <w:ilvl w:val="0"/>
          <w:numId w:val="2"/>
        </w:numPr>
        <w:spacing w:after="90" w:line="276"/>
      </w:pPr>
      <w:r>
        <w:rPr>
          <w:rFonts w:ascii="Arial" w:cs="Arial" w:eastAsia="Arial" w:hAnsi="Arial"/>
          <w:color w:val="33332E"/>
          <w:sz w:val="21"/>
          <w:szCs w:val="21"/>
        </w:rPr>
        <w:t xml:space="preserve">Identify risks — trafficking, exploitation, detention — as they actually appeared (UG 2)</w:t>
      </w:r>
    </w:p>
    <w:p>
      <w:pPr>
        <w:pStyle w:val="ListParagraph"/>
        <w:numPr>
          <w:ilvl w:val="0"/>
          <w:numId w:val="2"/>
        </w:numPr>
        <w:spacing w:after="90" w:line="276"/>
      </w:pPr>
      <w:r>
        <w:rPr>
          <w:rFonts w:ascii="Arial" w:cs="Arial" w:eastAsia="Arial" w:hAnsi="Arial"/>
          <w:color w:val="33332E"/>
          <w:sz w:val="21"/>
          <w:szCs w:val="21"/>
        </w:rPr>
        <w:t xml:space="preserve">Explain emotional and psychological impacts using module frameworks, not amateur diagnosis (UG 3)</w:t>
      </w:r>
    </w:p>
    <w:p>
      <w:pPr>
        <w:pStyle w:val="ListParagraph"/>
        <w:numPr>
          <w:ilvl w:val="0"/>
          <w:numId w:val="2"/>
        </w:numPr>
        <w:spacing w:after="90" w:line="276"/>
      </w:pPr>
      <w:r>
        <w:rPr>
          <w:rFonts w:ascii="Arial" w:cs="Arial" w:eastAsia="Arial" w:hAnsi="Arial"/>
          <w:color w:val="33332E"/>
          <w:sz w:val="21"/>
          <w:szCs w:val="21"/>
        </w:rPr>
        <w:t xml:space="preserve">Recognize how gender, age, and other factors shaped the journey (UG 4)</w:t>
      </w:r>
    </w:p>
    <w:p>
      <w:pPr>
        <w:pStyle w:val="Heading2"/>
        <w:spacing w:after="120" w:before="260"/>
      </w:pPr>
      <w:r>
        <w:rPr>
          <w:rFonts w:ascii="Arial" w:cs="Arial" w:eastAsia="Arial" w:hAnsi="Arial"/>
          <w:b/>
          <w:bCs/>
          <w:color w:val="175A82"/>
          <w:sz w:val="24"/>
          <w:szCs w:val="24"/>
        </w:rPr>
        <w:t xml:space="preserve">Graduate extension</w:t>
      </w:r>
    </w:p>
    <w:p>
      <w:pPr>
        <w:spacing w:after="160" w:line="276"/>
      </w:pPr>
      <w:r>
        <w:rPr>
          <w:rFonts w:ascii="Arial" w:cs="Arial" w:eastAsia="Arial" w:hAnsi="Arial"/>
          <w:color w:val="33332E"/>
          <w:sz w:val="21"/>
          <w:szCs w:val="21"/>
        </w:rPr>
        <w:t xml:space="preserve">Graduate students conducting original interviews follow the full ethics protocol (consent, right to withdraw, no trauma solicitation) and analyze their material against trauma-informed frameworks from the literature, noting where frameworks fit poorly (Grad 1–2). Interviews require completed ethics training; instructor confirms whether IRB review applies.</w:t>
      </w:r>
    </w:p>
    <w:p>
      <w:pPr>
        <w:pStyle w:val="Heading2"/>
        <w:spacing w:after="120" w:before="260"/>
      </w:pPr>
      <w:r>
        <w:rPr>
          <w:rFonts w:ascii="Arial" w:cs="Arial" w:eastAsia="Arial" w:hAnsi="Arial"/>
          <w:b/>
          <w:bCs/>
          <w:color w:val="175A82"/>
          <w:sz w:val="24"/>
          <w:szCs w:val="24"/>
        </w:rPr>
        <w:t xml:space="preserve">Assignment steps</w:t>
      </w:r>
    </w:p>
    <w:p>
      <w:pPr>
        <w:pStyle w:val="ListParagraph"/>
        <w:numPr>
          <w:ilvl w:val="0"/>
          <w:numId w:val="3"/>
        </w:numPr>
        <w:spacing w:after="90" w:line="276"/>
      </w:pPr>
      <w:r>
        <w:rPr>
          <w:rFonts w:ascii="Arial" w:cs="Arial" w:eastAsia="Arial" w:hAnsi="Arial"/>
          <w:color w:val="33332E"/>
          <w:sz w:val="21"/>
          <w:szCs w:val="21"/>
        </w:rPr>
        <w:t xml:space="preserve">Complete the mandatory ethics briefing before starting: consent, dignity, no re-traumatization, the difference between analyzing a narrative and mining it.</w:t>
      </w:r>
    </w:p>
    <w:p>
      <w:pPr>
        <w:pStyle w:val="ListParagraph"/>
        <w:numPr>
          <w:ilvl w:val="0"/>
          <w:numId w:val="3"/>
        </w:numPr>
        <w:spacing w:after="90" w:line="276"/>
      </w:pPr>
      <w:r>
        <w:rPr>
          <w:rFonts w:ascii="Arial" w:cs="Arial" w:eastAsia="Arial" w:hAnsi="Arial"/>
          <w:color w:val="33332E"/>
          <w:sz w:val="21"/>
          <w:szCs w:val="21"/>
        </w:rPr>
        <w:t xml:space="preserve">Choose your source: a published memoir or long-form testimony, a curated oral history archive (e.g., UNHCR storytelling projects, StoryCorps, university archives) — or, for approved students, an original interview with someone who has consented in writing.</w:t>
      </w:r>
    </w:p>
    <w:p>
      <w:pPr>
        <w:pStyle w:val="ListParagraph"/>
        <w:numPr>
          <w:ilvl w:val="0"/>
          <w:numId w:val="3"/>
        </w:numPr>
        <w:spacing w:after="90" w:line="276"/>
      </w:pPr>
      <w:r>
        <w:rPr>
          <w:rFonts w:ascii="Arial" w:cs="Arial" w:eastAsia="Arial" w:hAnsi="Arial"/>
          <w:color w:val="33332E"/>
          <w:sz w:val="21"/>
          <w:szCs w:val="21"/>
        </w:rPr>
        <w:t xml:space="preserve">Map the journey against the module's stage framework: decision, departure, transit, arrival, adjustment — noting where the real journey defies the tidy model.</w:t>
      </w:r>
    </w:p>
    <w:p>
      <w:pPr>
        <w:pStyle w:val="ListParagraph"/>
        <w:numPr>
          <w:ilvl w:val="0"/>
          <w:numId w:val="3"/>
        </w:numPr>
        <w:spacing w:after="90" w:line="276"/>
      </w:pPr>
      <w:r>
        <w:rPr>
          <w:rFonts w:ascii="Arial" w:cs="Arial" w:eastAsia="Arial" w:hAnsi="Arial"/>
          <w:color w:val="33332E"/>
          <w:sz w:val="21"/>
          <w:szCs w:val="21"/>
        </w:rPr>
        <w:t xml:space="preserve">Analyze two dimensions in depth (e.g., gendered risk and resilience strategies; child vulnerability and family separation; trauma and post-arrival mental health).</w:t>
      </w:r>
    </w:p>
    <w:p>
      <w:pPr>
        <w:pStyle w:val="ListParagraph"/>
        <w:numPr>
          <w:ilvl w:val="0"/>
          <w:numId w:val="3"/>
        </w:numPr>
        <w:spacing w:after="90" w:line="276"/>
      </w:pPr>
      <w:r>
        <w:rPr>
          <w:rFonts w:ascii="Arial" w:cs="Arial" w:eastAsia="Arial" w:hAnsi="Arial"/>
          <w:color w:val="33332E"/>
          <w:sz w:val="21"/>
          <w:szCs w:val="21"/>
        </w:rPr>
        <w:t xml:space="preserve">Write the analysis, quoting the narrative sparingly and respectfully — the person is the expert on their experience; you are analyzing structures, not judging choices.</w:t>
      </w:r>
    </w:p>
    <w:p>
      <w:pPr>
        <w:pStyle w:val="ListParagraph"/>
        <w:numPr>
          <w:ilvl w:val="0"/>
          <w:numId w:val="3"/>
        </w:numPr>
        <w:spacing w:after="90" w:line="276"/>
      </w:pPr>
      <w:r>
        <w:rPr>
          <w:rFonts w:ascii="Arial" w:cs="Arial" w:eastAsia="Arial" w:hAnsi="Arial"/>
          <w:color w:val="33332E"/>
          <w:sz w:val="21"/>
          <w:szCs w:val="21"/>
        </w:rPr>
        <w:t xml:space="preserve">Include a 300-word ethics reflection: what you chose not to use, and why.</w:t>
      </w:r>
    </w:p>
    <w:p>
      <w:pPr>
        <w:pStyle w:val="Heading2"/>
        <w:spacing w:after="120" w:before="260"/>
      </w:pPr>
      <w:r>
        <w:rPr>
          <w:rFonts w:ascii="Arial" w:cs="Arial" w:eastAsia="Arial" w:hAnsi="Arial"/>
          <w:b/>
          <w:bCs/>
          <w:color w:val="175A82"/>
          <w:sz w:val="24"/>
          <w:szCs w:val="24"/>
        </w:rPr>
        <w:t xml:space="preserve">Deliverables &amp; format</w:t>
      </w:r>
    </w:p>
    <w:p>
      <w:pPr>
        <w:pStyle w:val="ListParagraph"/>
        <w:numPr>
          <w:ilvl w:val="0"/>
          <w:numId w:val="2"/>
        </w:numPr>
        <w:spacing w:after="90" w:line="276"/>
      </w:pPr>
      <w:r>
        <w:rPr>
          <w:rFonts w:ascii="Arial" w:cs="Arial" w:eastAsia="Arial" w:hAnsi="Arial"/>
          <w:color w:val="33332E"/>
          <w:sz w:val="21"/>
          <w:szCs w:val="21"/>
        </w:rPr>
        <w:t xml:space="preserve">Narrative analysis, 1,500–1,800 words (graduate: 2,500 with framework critique)</w:t>
      </w:r>
    </w:p>
    <w:p>
      <w:pPr>
        <w:pStyle w:val="ListParagraph"/>
        <w:numPr>
          <w:ilvl w:val="0"/>
          <w:numId w:val="2"/>
        </w:numPr>
        <w:spacing w:after="90" w:line="276"/>
      </w:pPr>
      <w:r>
        <w:rPr>
          <w:rFonts w:ascii="Arial" w:cs="Arial" w:eastAsia="Arial" w:hAnsi="Arial"/>
          <w:color w:val="33332E"/>
          <w:sz w:val="21"/>
          <w:szCs w:val="21"/>
        </w:rPr>
        <w:t xml:space="preserve">Journey map (visual or structured outline)</w:t>
      </w:r>
    </w:p>
    <w:p>
      <w:pPr>
        <w:pStyle w:val="ListParagraph"/>
        <w:numPr>
          <w:ilvl w:val="0"/>
          <w:numId w:val="2"/>
        </w:numPr>
        <w:spacing w:after="90" w:line="276"/>
      </w:pPr>
      <w:r>
        <w:rPr>
          <w:rFonts w:ascii="Arial" w:cs="Arial" w:eastAsia="Arial" w:hAnsi="Arial"/>
          <w:color w:val="33332E"/>
          <w:sz w:val="21"/>
          <w:szCs w:val="21"/>
        </w:rPr>
        <w:t xml:space="preserve">Ethics reflection (300 words); signed consent form if an original interview was conducted</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Ethical handling of the material — demonstrated, not asserted</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impeccable: ethical handling of the material — demonstrated, not asserted is demonstrated throughout, protocols are followed without exception, and the work shows active care for the people and communities involved.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sound: ethical handling of the material — demonstrated, not asserted is evident with only minor lapses that do not affect participants or partners, and all required protocols are followed.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uneven: ethical handling of the material — demonstrated, not asserted is addressed but with gaps — a missed protocol step, careless handling of sensitive material, or boundary issues requiring instructor follow-up.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falls short of requirements: ethical handling of the material — demonstrated, not asserted is neglected in ways that required intervention or placed participants, partners, or material at risk.</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Accurate use of stage, risk, and trauma frameworks</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accurate use of stage, risk, and trauma frameworks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accurate use of stage, risk, and trauma frameworks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accurate use of stage, risk, and trauma frameworks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accurate use of stage, risk, and trauma frameworks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Depth of the two-dimension analysis</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depth of the two-dimension analysis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depth of the two-dimension analysis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depth of the two-dimension analysis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depth of the two-dimension analysis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Respectful, precise writing</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respectful, precise writing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respectful, precise writing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respectful, precise writing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respectful, precise writing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8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8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2026-07-21T19:52:49.381Z</dcterms:created>
  <dcterms:modified xsi:type="dcterms:W3CDTF">2026-07-21T19:52:49.381Z</dcterms:modified>
</cp:coreProperties>
</file>

<file path=docProps/custom.xml><?xml version="1.0" encoding="utf-8"?>
<Properties xmlns="http://schemas.openxmlformats.org/officeDocument/2006/custom-properties" xmlns:vt="http://schemas.openxmlformats.org/officeDocument/2006/docPropsVTypes"/>
</file>