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9: Borders, Sovereignty, and Policy</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Watching the Law Work: Immigration Court Observation and Legal Aid Support</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Participate in an immigration court observation program or support a legal aid office in non-legal roles, then analyze how legal frameworks from the module operate in practice.</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Explain border and enforcement concepts from observation (UG 1)</w:t>
      </w:r>
    </w:p>
    <w:p>
      <w:pPr>
        <w:pStyle w:val="ListParagraph"/>
        <w:numPr>
          <w:ilvl w:val="0"/>
          <w:numId w:val="2"/>
        </w:numPr>
        <w:spacing w:after="90" w:line="276"/>
      </w:pPr>
      <w:r>
        <w:rPr>
          <w:rFonts w:ascii="Arial" w:cs="Arial" w:eastAsia="Arial" w:hAnsi="Arial"/>
          <w:color w:val="33332E"/>
          <w:sz w:val="21"/>
          <w:szCs w:val="21"/>
        </w:rPr>
        <w:t xml:space="preserve">Identify legal frameworks in live proceedings (UG 2)</w:t>
      </w:r>
    </w:p>
    <w:p>
      <w:pPr>
        <w:pStyle w:val="ListParagraph"/>
        <w:numPr>
          <w:ilvl w:val="0"/>
          <w:numId w:val="2"/>
        </w:numPr>
        <w:spacing w:after="90" w:line="276"/>
      </w:pPr>
      <w:r>
        <w:rPr>
          <w:rFonts w:ascii="Arial" w:cs="Arial" w:eastAsia="Arial" w:hAnsi="Arial"/>
          <w:color w:val="33332E"/>
          <w:sz w:val="21"/>
          <w:szCs w:val="21"/>
        </w:rPr>
        <w:t xml:space="preserve">Describe enforcement and adjudication practices (UG 3)</w:t>
      </w:r>
    </w:p>
    <w:p>
      <w:pPr>
        <w:pStyle w:val="ListParagraph"/>
        <w:numPr>
          <w:ilvl w:val="0"/>
          <w:numId w:val="2"/>
        </w:numPr>
        <w:spacing w:after="90" w:line="276"/>
      </w:pPr>
      <w:r>
        <w:rPr>
          <w:rFonts w:ascii="Arial" w:cs="Arial" w:eastAsia="Arial" w:hAnsi="Arial"/>
          <w:color w:val="33332E"/>
          <w:sz w:val="21"/>
          <w:szCs w:val="21"/>
        </w:rPr>
        <w:t xml:space="preserve">Understand rights issues facing respondents (UG 4)</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Immigration court watch / observation programs</w:t>
      </w:r>
    </w:p>
    <w:p>
      <w:pPr>
        <w:pStyle w:val="ListParagraph"/>
        <w:numPr>
          <w:ilvl w:val="0"/>
          <w:numId w:val="2"/>
        </w:numPr>
        <w:spacing w:after="90" w:line="276"/>
      </w:pPr>
      <w:r>
        <w:rPr>
          <w:rFonts w:ascii="Arial" w:cs="Arial" w:eastAsia="Arial" w:hAnsi="Arial"/>
          <w:color w:val="33332E"/>
          <w:sz w:val="21"/>
          <w:szCs w:val="21"/>
        </w:rPr>
        <w:t xml:space="preserve">Immigration legal aid offices (file organization, interpretation logistics, reception)</w:t>
      </w:r>
    </w:p>
    <w:p>
      <w:pPr>
        <w:pStyle w:val="ListParagraph"/>
        <w:numPr>
          <w:ilvl w:val="0"/>
          <w:numId w:val="2"/>
        </w:numPr>
        <w:spacing w:after="90" w:line="276"/>
      </w:pPr>
      <w:r>
        <w:rPr>
          <w:rFonts w:ascii="Arial" w:cs="Arial" w:eastAsia="Arial" w:hAnsi="Arial"/>
          <w:color w:val="33332E"/>
          <w:sz w:val="21"/>
          <w:szCs w:val="21"/>
        </w:rPr>
        <w:t xml:space="preserve">Detention visitation or hotline programs (where available and appropriate)</w:t>
      </w:r>
    </w:p>
    <w:p>
      <w:pPr>
        <w:pStyle w:val="ListParagraph"/>
        <w:numPr>
          <w:ilvl w:val="0"/>
          <w:numId w:val="2"/>
        </w:numPr>
        <w:spacing w:after="90" w:line="276"/>
      </w:pPr>
      <w:r>
        <w:rPr>
          <w:rFonts w:ascii="Arial" w:cs="Arial" w:eastAsia="Arial" w:hAnsi="Arial"/>
          <w:color w:val="33332E"/>
          <w:sz w:val="21"/>
          <w:szCs w:val="21"/>
        </w:rPr>
        <w:t xml:space="preserve">Law school immigration clinics needing undergraduate support</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Complete the partner's observer or volunteer training, including courtroom conduct rules.</w:t>
      </w:r>
    </w:p>
    <w:p>
      <w:pPr>
        <w:pStyle w:val="ListParagraph"/>
        <w:numPr>
          <w:ilvl w:val="0"/>
          <w:numId w:val="3"/>
        </w:numPr>
        <w:spacing w:after="90" w:line="276"/>
      </w:pPr>
      <w:r>
        <w:rPr>
          <w:rFonts w:ascii="Arial" w:cs="Arial" w:eastAsia="Arial" w:hAnsi="Arial"/>
          <w:color w:val="33332E"/>
          <w:sz w:val="21"/>
          <w:szCs w:val="21"/>
        </w:rPr>
        <w:t xml:space="preserve">Observe 2–3 immigration court sessions (or serve 4+ shifts in the legal aid role).</w:t>
      </w:r>
    </w:p>
    <w:p>
      <w:pPr>
        <w:pStyle w:val="ListParagraph"/>
        <w:numPr>
          <w:ilvl w:val="0"/>
          <w:numId w:val="3"/>
        </w:numPr>
        <w:spacing w:after="90" w:line="276"/>
      </w:pPr>
      <w:r>
        <w:rPr>
          <w:rFonts w:ascii="Arial" w:cs="Arial" w:eastAsia="Arial" w:hAnsi="Arial"/>
          <w:color w:val="33332E"/>
          <w:sz w:val="21"/>
          <w:szCs w:val="21"/>
        </w:rPr>
        <w:t xml:space="preserve">Record structured observations: hearing type, representation status, interpreter access, outcomes announced (no names).</w:t>
      </w:r>
    </w:p>
    <w:p>
      <w:pPr>
        <w:pStyle w:val="ListParagraph"/>
        <w:numPr>
          <w:ilvl w:val="0"/>
          <w:numId w:val="3"/>
        </w:numPr>
        <w:spacing w:after="90" w:line="276"/>
      </w:pPr>
      <w:r>
        <w:rPr>
          <w:rFonts w:ascii="Arial" w:cs="Arial" w:eastAsia="Arial" w:hAnsi="Arial"/>
          <w:color w:val="33332E"/>
          <w:sz w:val="21"/>
          <w:szCs w:val="21"/>
        </w:rPr>
        <w:t xml:space="preserve">Connect observations to module frameworks: due process, non-refoulement, detention standards, discretion.</w:t>
      </w:r>
    </w:p>
    <w:p>
      <w:pPr>
        <w:pStyle w:val="ListParagraph"/>
        <w:numPr>
          <w:ilvl w:val="0"/>
          <w:numId w:val="3"/>
        </w:numPr>
        <w:spacing w:after="90" w:line="276"/>
      </w:pPr>
      <w:r>
        <w:rPr>
          <w:rFonts w:ascii="Arial" w:cs="Arial" w:eastAsia="Arial" w:hAnsi="Arial"/>
          <w:color w:val="33332E"/>
          <w:sz w:val="21"/>
          <w:szCs w:val="21"/>
        </w:rPr>
        <w:t xml:space="preserve">Interview one attorney or accredited representative about the gap between law on paper and law in the room.</w:t>
      </w:r>
    </w:p>
    <w:p>
      <w:pPr>
        <w:pStyle w:val="ListParagraph"/>
        <w:numPr>
          <w:ilvl w:val="0"/>
          <w:numId w:val="3"/>
        </w:numPr>
        <w:spacing w:after="90" w:line="276"/>
      </w:pPr>
      <w:r>
        <w:rPr>
          <w:rFonts w:ascii="Arial" w:cs="Arial" w:eastAsia="Arial" w:hAnsi="Arial"/>
          <w:color w:val="33332E"/>
          <w:sz w:val="21"/>
          <w:szCs w:val="21"/>
        </w:rPr>
        <w:t xml:space="preserve">Write the observation report and share aggregate observations with the partner program.</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Structured observation log</w:t>
      </w:r>
    </w:p>
    <w:p>
      <w:pPr>
        <w:pStyle w:val="ListParagraph"/>
        <w:numPr>
          <w:ilvl w:val="0"/>
          <w:numId w:val="2"/>
        </w:numPr>
        <w:spacing w:after="90" w:line="276"/>
      </w:pPr>
      <w:r>
        <w:rPr>
          <w:rFonts w:ascii="Arial" w:cs="Arial" w:eastAsia="Arial" w:hAnsi="Arial"/>
          <w:color w:val="33332E"/>
          <w:sz w:val="21"/>
          <w:szCs w:val="21"/>
        </w:rPr>
        <w:t xml:space="preserve">5-page legal observation report linking practice to frameworks</w:t>
      </w:r>
    </w:p>
    <w:p>
      <w:pPr>
        <w:pStyle w:val="ListParagraph"/>
        <w:numPr>
          <w:ilvl w:val="0"/>
          <w:numId w:val="2"/>
        </w:numPr>
        <w:spacing w:after="90" w:line="276"/>
      </w:pPr>
      <w:r>
        <w:rPr>
          <w:rFonts w:ascii="Arial" w:cs="Arial" w:eastAsia="Arial" w:hAnsi="Arial"/>
          <w:color w:val="33332E"/>
          <w:sz w:val="21"/>
          <w:szCs w:val="21"/>
        </w:rPr>
        <w:t xml:space="preserve">Aggregate summary for the court watch program</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14–16 hours.</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No recording, no client names, no legal advice; observers follow all court and program rules.</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Observation quality and professionalism</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Exceptional professionalism: observation quality and professionalism is confirmed by strong partner or site feedback; the student was consistently prepared, dependable, and left the partner concretely better off.</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Solid professionalism: observation quality and professionalism is confirmed by positive partner feedback; commitments were met with only minor scheduling or preparation issues.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Inconsistent professionalism: observation quality and professionalism is partially met — missed sessions, uneven preparation, or partner feedback indicating the student required significant management.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Inadequate professionalism: observation quality and professionalism is not met; commitments were unmet or the partner's experience was negative.</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Accurate use of legal concepts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accurate use of legal concepts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accurate use of legal concepts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accurate use of legal concepts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accurate use of legal concepts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Analysis of the law-in-books vs. law-in-action gap</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analysis of the law-in-books vs. law-in-action gap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analysis of the law-in-books vs. law-in-action gap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analysis of the law-in-books vs. law-in-action gap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analysis of the law-in-books vs. law-in-action gap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Contribution to the partner program</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Exceptional professionalism: contribution to the partner program is confirmed by strong partner or site feedback; the student was consistently prepared, dependable, and left the partner concretely better off.</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Solid professionalism: contribution to the partner program is confirmed by positive partner feedback; commitments were met with only minor scheduling or preparation issues.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Inconsistent professionalism: contribution to the partner program is partially met — missed sessions, uneven preparation, or partner feedback indicating the student required significant management.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Inadequate professionalism: contribution to the partner program is not met; commitments were unmet or the partner's experience was negative.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9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9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2026-07-21T19:52:49.409Z</dcterms:created>
  <dcterms:modified xsi:type="dcterms:W3CDTF">2026-07-21T19:52:49.409Z</dcterms:modified>
</cp:coreProperties>
</file>

<file path=docProps/custom.xml><?xml version="1.0" encoding="utf-8"?>
<Properties xmlns="http://schemas.openxmlformats.org/officeDocument/2006/custom-properties" xmlns:vt="http://schemas.openxmlformats.org/officeDocument/2006/docPropsVTypes"/>
</file>