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9: Borders, Sovereignty, and Policy</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do real legal analysis: one migration case study examined through the frameworks that govern borders — sovereignty, the 1951 Convention, non-refoulement, due process. The assignment teaches how to read law against practice and write a structured legal memo.</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Explain border and enforcement concepts in the chosen case (UG 1)</w:t>
      </w:r>
    </w:p>
    <w:p>
      <w:pPr>
        <w:pStyle w:val="ListParagraph"/>
        <w:numPr>
          <w:ilvl w:val="0"/>
          <w:numId w:val="2"/>
        </w:numPr>
        <w:spacing w:after="90" w:line="276"/>
      </w:pPr>
      <w:r>
        <w:rPr>
          <w:rFonts w:ascii="Arial" w:cs="Arial" w:eastAsia="Arial" w:hAnsi="Arial"/>
          <w:color w:val="33332E"/>
          <w:sz w:val="21"/>
          <w:szCs w:val="21"/>
        </w:rPr>
        <w:t xml:space="preserve">Identify the legal frameworks that apply — domestic and international (UG 2)</w:t>
      </w:r>
    </w:p>
    <w:p>
      <w:pPr>
        <w:pStyle w:val="ListParagraph"/>
        <w:numPr>
          <w:ilvl w:val="0"/>
          <w:numId w:val="2"/>
        </w:numPr>
        <w:spacing w:after="90" w:line="276"/>
      </w:pPr>
      <w:r>
        <w:rPr>
          <w:rFonts w:ascii="Arial" w:cs="Arial" w:eastAsia="Arial" w:hAnsi="Arial"/>
          <w:color w:val="33332E"/>
          <w:sz w:val="21"/>
          <w:szCs w:val="21"/>
        </w:rPr>
        <w:t xml:space="preserve">Describe enforcement practices and the rights issues they raise (UG 3)</w:t>
      </w:r>
    </w:p>
    <w:p>
      <w:pPr>
        <w:pStyle w:val="ListParagraph"/>
        <w:numPr>
          <w:ilvl w:val="0"/>
          <w:numId w:val="2"/>
        </w:numPr>
        <w:spacing w:after="90" w:line="276"/>
      </w:pPr>
      <w:r>
        <w:rPr>
          <w:rFonts w:ascii="Arial" w:cs="Arial" w:eastAsia="Arial" w:hAnsi="Arial"/>
          <w:color w:val="33332E"/>
          <w:sz w:val="21"/>
          <w:szCs w:val="21"/>
        </w:rPr>
        <w:t xml:space="preserve">Understand how sovereignty and rights claims collide in practice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analyze a line of 3–4 related cases rather than one, map the doctrine's trajectory, and defend a position on how the tension should be resolved — then critique their own argument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Select a case or controversy from the provided list (e.g., a non-refoulement challenge to a border expulsion policy; a family detention case; an externalization agreement litigated in domestic courts; a state–federal enforcement conflict) or propose one.</w:t>
      </w:r>
    </w:p>
    <w:p>
      <w:pPr>
        <w:pStyle w:val="ListParagraph"/>
        <w:numPr>
          <w:ilvl w:val="0"/>
          <w:numId w:val="3"/>
        </w:numPr>
        <w:spacing w:after="90" w:line="276"/>
      </w:pPr>
      <w:r>
        <w:rPr>
          <w:rFonts w:ascii="Arial" w:cs="Arial" w:eastAsia="Arial" w:hAnsi="Arial"/>
          <w:color w:val="33332E"/>
          <w:sz w:val="21"/>
          <w:szCs w:val="21"/>
        </w:rPr>
        <w:t xml:space="preserve">Establish the facts precisely from primary documents — the ruling itself, filings, or official summaries — not just news coverage.</w:t>
      </w:r>
    </w:p>
    <w:p>
      <w:pPr>
        <w:pStyle w:val="ListParagraph"/>
        <w:numPr>
          <w:ilvl w:val="0"/>
          <w:numId w:val="3"/>
        </w:numPr>
        <w:spacing w:after="90" w:line="276"/>
      </w:pPr>
      <w:r>
        <w:rPr>
          <w:rFonts w:ascii="Arial" w:cs="Arial" w:eastAsia="Arial" w:hAnsi="Arial"/>
          <w:color w:val="33332E"/>
          <w:sz w:val="21"/>
          <w:szCs w:val="21"/>
        </w:rPr>
        <w:t xml:space="preserve">Identify every legal framework in play: constitutional provisions, statutes, the 1951 Convention and Protocol, regional human rights instruments.</w:t>
      </w:r>
    </w:p>
    <w:p>
      <w:pPr>
        <w:pStyle w:val="ListParagraph"/>
        <w:numPr>
          <w:ilvl w:val="0"/>
          <w:numId w:val="3"/>
        </w:numPr>
        <w:spacing w:after="90" w:line="276"/>
      </w:pPr>
      <w:r>
        <w:rPr>
          <w:rFonts w:ascii="Arial" w:cs="Arial" w:eastAsia="Arial" w:hAnsi="Arial"/>
          <w:color w:val="33332E"/>
          <w:sz w:val="21"/>
          <w:szCs w:val="21"/>
        </w:rPr>
        <w:t xml:space="preserve">Analyze the core tension: what does the state claim sovereignty permits, what do rights instruments require, and how did the decision-maker resolve it?</w:t>
      </w:r>
    </w:p>
    <w:p>
      <w:pPr>
        <w:pStyle w:val="ListParagraph"/>
        <w:numPr>
          <w:ilvl w:val="0"/>
          <w:numId w:val="3"/>
        </w:numPr>
        <w:spacing w:after="90" w:line="276"/>
      </w:pPr>
      <w:r>
        <w:rPr>
          <w:rFonts w:ascii="Arial" w:cs="Arial" w:eastAsia="Arial" w:hAnsi="Arial"/>
          <w:color w:val="33332E"/>
          <w:sz w:val="21"/>
          <w:szCs w:val="21"/>
        </w:rPr>
        <w:t xml:space="preserve">Assess the reasoning: is it consistent with precedent and treaty obligations? Where is it vulnerable?</w:t>
      </w:r>
    </w:p>
    <w:p>
      <w:pPr>
        <w:pStyle w:val="ListParagraph"/>
        <w:numPr>
          <w:ilvl w:val="0"/>
          <w:numId w:val="3"/>
        </w:numPr>
        <w:spacing w:after="90" w:line="276"/>
      </w:pPr>
      <w:r>
        <w:rPr>
          <w:rFonts w:ascii="Arial" w:cs="Arial" w:eastAsia="Arial" w:hAnsi="Arial"/>
          <w:color w:val="33332E"/>
          <w:sz w:val="21"/>
          <w:szCs w:val="21"/>
        </w:rPr>
        <w:t xml:space="preserve">Write it as a legal memo: facts, issues, applicable law, analysis, conclusion. Plain English; every legal claim cited.</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Legal analysis memo, 1,500–2,000 words (graduate: 2,500+, multi-case doctrinal analysis)</w:t>
      </w:r>
    </w:p>
    <w:p>
      <w:pPr>
        <w:pStyle w:val="ListParagraph"/>
        <w:numPr>
          <w:ilvl w:val="0"/>
          <w:numId w:val="2"/>
        </w:numPr>
        <w:spacing w:after="90" w:line="276"/>
      </w:pPr>
      <w:r>
        <w:rPr>
          <w:rFonts w:ascii="Arial" w:cs="Arial" w:eastAsia="Arial" w:hAnsi="Arial"/>
          <w:color w:val="33332E"/>
          <w:sz w:val="21"/>
          <w:szCs w:val="21"/>
        </w:rPr>
        <w:t xml:space="preserve">Framework table listing each legal source and what it requires</w:t>
      </w:r>
    </w:p>
    <w:p>
      <w:pPr>
        <w:pStyle w:val="ListParagraph"/>
        <w:numPr>
          <w:ilvl w:val="0"/>
          <w:numId w:val="2"/>
        </w:numPr>
        <w:spacing w:after="90" w:line="276"/>
      </w:pPr>
      <w:r>
        <w:rPr>
          <w:rFonts w:ascii="Arial" w:cs="Arial" w:eastAsia="Arial" w:hAnsi="Arial"/>
          <w:color w:val="33332E"/>
          <w:sz w:val="21"/>
          <w:szCs w:val="21"/>
        </w:rPr>
        <w:t xml:space="preserve">Case documents list (primary sources used)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legal frameworks and case facts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legal frameworks and case facts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legal frameworks and case facts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legal frameworks and case facts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legal frameworks and case facts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sovereignty-vs-rights analysis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sovereignty-vs-rights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sovereignty-vs-rights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sovereignty-vs-rights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sovereignty-vs-rights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Critical assessment of the reasoning, not just description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critical assessment of the reasoning, not just description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critical assessment of the reasoning, not just description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critical assessment of the reasoning, not just description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critical assessment of the reasoning, not just description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Memo structure, clarity, and citation</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memo structure, clarity, and citation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memo structure, clarity, and citation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memo structure, clarity, and citation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memo structure, clarity, and citation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2026-07-21T19:52:49.404Z</dcterms:created>
  <dcterms:modified xsi:type="dcterms:W3CDTF">2026-07-21T19:52:49.404Z</dcterms:modified>
</cp:coreProperties>
</file>

<file path=docProps/custom.xml><?xml version="1.0" encoding="utf-8"?>
<Properties xmlns="http://schemas.openxmlformats.org/officeDocument/2006/custom-properties" xmlns:vt="http://schemas.openxmlformats.org/officeDocument/2006/docPropsVTypes"/>
</file>