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10: Migration, Labor, and the Economy</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Designing Economic Inclusion: A Strategy and Evaluation Framework</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Design an economic inclusion strategy for a specific migrant population in a specific place — grounded in evidence on what works — and build the evaluation framework that would test it.</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Design economic inclusion strategies (Grad 1)</w:t>
      </w:r>
    </w:p>
    <w:p>
      <w:pPr>
        <w:pStyle w:val="ListParagraph"/>
        <w:numPr>
          <w:ilvl w:val="0"/>
          <w:numId w:val="2"/>
        </w:numPr>
        <w:spacing w:after="90" w:line="276"/>
      </w:pPr>
      <w:r>
        <w:rPr>
          <w:rFonts w:ascii="Arial" w:cs="Arial" w:eastAsia="Arial" w:hAnsi="Arial"/>
          <w:color w:val="33332E"/>
          <w:sz w:val="21"/>
          <w:szCs w:val="21"/>
        </w:rPr>
        <w:t xml:space="preserve">Evaluate labor policy impacts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What binding constraints (credential recognition, work authorization, banking access, discrimination) most limit your chosen population's livelihoods?</w:t>
      </w:r>
    </w:p>
    <w:p>
      <w:pPr>
        <w:pStyle w:val="ListParagraph"/>
        <w:numPr>
          <w:ilvl w:val="0"/>
          <w:numId w:val="2"/>
        </w:numPr>
        <w:spacing w:after="90" w:line="276"/>
      </w:pPr>
      <w:r>
        <w:rPr>
          <w:rFonts w:ascii="Arial" w:cs="Arial" w:eastAsia="Arial" w:hAnsi="Arial"/>
          <w:color w:val="33332E"/>
          <w:sz w:val="21"/>
          <w:szCs w:val="21"/>
        </w:rPr>
        <w:t xml:space="preserve">Which interventions have credible evidence of easing those constraints elsewhere?</w:t>
      </w:r>
    </w:p>
    <w:p>
      <w:pPr>
        <w:pStyle w:val="ListParagraph"/>
        <w:numPr>
          <w:ilvl w:val="0"/>
          <w:numId w:val="2"/>
        </w:numPr>
        <w:spacing w:after="90" w:line="276"/>
      </w:pPr>
      <w:r>
        <w:rPr>
          <w:rFonts w:ascii="Arial" w:cs="Arial" w:eastAsia="Arial" w:hAnsi="Arial"/>
          <w:color w:val="33332E"/>
          <w:sz w:val="21"/>
          <w:szCs w:val="21"/>
        </w:rPr>
        <w:t xml:space="preserve">How would you know your strategy worked — what outcomes, measured how, compared to what?</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Evidence review (ILO, World Bank, IRC/J-PAL livelihood evaluations) plus local labor market analysis from public data. The strategy must include a theory of change and a realistic evaluation design (indicators, comparison logic, timeline).</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for the design; required later only if the strategy were field-tested with human subjects.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4,500-word strategy paper with theory-of-change diagram</w:t>
      </w:r>
    </w:p>
    <w:p>
      <w:pPr>
        <w:pStyle w:val="ListParagraph"/>
        <w:numPr>
          <w:ilvl w:val="0"/>
          <w:numId w:val="2"/>
        </w:numPr>
        <w:spacing w:after="90" w:line="276"/>
      </w:pPr>
      <w:r>
        <w:rPr>
          <w:rFonts w:ascii="Arial" w:cs="Arial" w:eastAsia="Arial" w:hAnsi="Arial"/>
          <w:color w:val="33332E"/>
          <w:sz w:val="21"/>
          <w:szCs w:val="21"/>
        </w:rPr>
        <w:t xml:space="preserve">Evaluation framework matrix</w:t>
      </w:r>
    </w:p>
    <w:p>
      <w:pPr>
        <w:pStyle w:val="ListParagraph"/>
        <w:numPr>
          <w:ilvl w:val="0"/>
          <w:numId w:val="2"/>
        </w:numPr>
        <w:spacing w:after="90" w:line="276"/>
      </w:pPr>
      <w:r>
        <w:rPr>
          <w:rFonts w:ascii="Arial" w:cs="Arial" w:eastAsia="Arial" w:hAnsi="Arial"/>
          <w:color w:val="33332E"/>
          <w:sz w:val="21"/>
          <w:szCs w:val="21"/>
        </w:rPr>
        <w:t xml:space="preserve">Funder-style two-page executive summary</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base for chosen interventions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base for chosen interventions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base for chosen interventions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base for chosen interventions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base for chosen interventions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Coherence of the theory of change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coherence of the theory of change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coherence of the theory of change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coherence of the theory of change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coherence of the theory of change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evaluation design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rigor of the evaluation design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rigor of the evaluation design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rigor of the evaluation design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rigor of the evaluation design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Executive summary quality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executive summary quality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executive summary quality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executive summary quality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executive summary quality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2026-07-21T19:52:49.432Z</dcterms:created>
  <dcterms:modified xsi:type="dcterms:W3CDTF">2026-07-21T19:52:49.432Z</dcterms:modified>
</cp:coreProperties>
</file>

<file path=docProps/custom.xml><?xml version="1.0" encoding="utf-8"?>
<Properties xmlns="http://schemas.openxmlformats.org/officeDocument/2006/custom-properties" xmlns:vt="http://schemas.openxmlformats.org/officeDocument/2006/docPropsVTypes"/>
</file>