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10: Migration, Labor, and the Economy</w:t>
      </w:r>
    </w:p>
    <w:p>
      <w:pPr>
        <w:spacing w:after="60"/>
      </w:pPr>
      <w:r>
        <w:rPr>
          <w:rFonts w:ascii="Arial" w:cs="Arial" w:eastAsia="Arial" w:hAnsi="Arial"/>
          <w:b/>
          <w:bCs/>
          <w:color w:val="175A82"/>
          <w:sz w:val="22"/>
          <w:szCs w:val="22"/>
        </w:rPr>
        <w:t xml:space="preserve">Service Learning Project</w:t>
      </w:r>
    </w:p>
    <w:p>
      <w:pPr>
        <w:pBdr>
          <w:bottom w:val="single" w:color="E7F2F9" w:sz="6" w:space="6"/>
        </w:pBdr>
        <w:spacing w:after="220"/>
      </w:pPr>
      <w:r>
        <w:rPr>
          <w:rFonts w:ascii="Arial" w:cs="Arial" w:eastAsia="Arial" w:hAnsi="Arial"/>
          <w:b/>
          <w:bCs/>
          <w:i/>
          <w:iCs/>
          <w:color w:val="33332E"/>
          <w:sz w:val="25"/>
          <w:szCs w:val="25"/>
        </w:rPr>
        <w:t xml:space="preserve">Working Together: Supporting a Worker Center or Migrant Livelihood Program</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Support a worker center, financial-inclusion nonprofit, or immigrant entrepreneurship program, and co-produce a livelihood resource that responds to a need the partner identifies.</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Describe migrant labor roles in the local economy (UG 1)</w:t>
      </w:r>
    </w:p>
    <w:p>
      <w:pPr>
        <w:pStyle w:val="ListParagraph"/>
        <w:numPr>
          <w:ilvl w:val="0"/>
          <w:numId w:val="2"/>
        </w:numPr>
        <w:spacing w:after="90" w:line="276"/>
      </w:pPr>
      <w:r>
        <w:rPr>
          <w:rFonts w:ascii="Arial" w:cs="Arial" w:eastAsia="Arial" w:hAnsi="Arial"/>
          <w:color w:val="33332E"/>
          <w:sz w:val="21"/>
          <w:szCs w:val="21"/>
        </w:rPr>
        <w:t xml:space="preserve">Identify economic contributions concretely (UG 2)</w:t>
      </w:r>
    </w:p>
    <w:p>
      <w:pPr>
        <w:pStyle w:val="ListParagraph"/>
        <w:numPr>
          <w:ilvl w:val="0"/>
          <w:numId w:val="2"/>
        </w:numPr>
        <w:spacing w:after="90" w:line="276"/>
      </w:pPr>
      <w:r>
        <w:rPr>
          <w:rFonts w:ascii="Arial" w:cs="Arial" w:eastAsia="Arial" w:hAnsi="Arial"/>
          <w:color w:val="33332E"/>
          <w:sz w:val="21"/>
          <w:szCs w:val="21"/>
        </w:rPr>
        <w:t xml:space="preserve">Explain challenges migrant workers face (UG 3)</w:t>
      </w:r>
    </w:p>
    <w:p>
      <w:pPr>
        <w:pStyle w:val="ListParagraph"/>
        <w:numPr>
          <w:ilvl w:val="0"/>
          <w:numId w:val="2"/>
        </w:numPr>
        <w:spacing w:after="90" w:line="276"/>
      </w:pPr>
      <w:r>
        <w:rPr>
          <w:rFonts w:ascii="Arial" w:cs="Arial" w:eastAsia="Arial" w:hAnsi="Arial"/>
          <w:color w:val="33332E"/>
          <w:sz w:val="21"/>
          <w:szCs w:val="21"/>
        </w:rPr>
        <w:t xml:space="preserve">Recognize exploitation risks and protections (UG 4)</w:t>
      </w:r>
    </w:p>
    <w:p>
      <w:pPr>
        <w:pStyle w:val="Heading2"/>
        <w:spacing w:after="120" w:before="260"/>
      </w:pPr>
      <w:r>
        <w:rPr>
          <w:rFonts w:ascii="Arial" w:cs="Arial" w:eastAsia="Arial" w:hAnsi="Arial"/>
          <w:b/>
          <w:bCs/>
          <w:color w:val="175A82"/>
          <w:sz w:val="24"/>
          <w:szCs w:val="24"/>
        </w:rPr>
        <w:t xml:space="preserve">Suggested community partners</w:t>
      </w:r>
    </w:p>
    <w:p>
      <w:pPr>
        <w:pStyle w:val="ListParagraph"/>
        <w:numPr>
          <w:ilvl w:val="0"/>
          <w:numId w:val="2"/>
        </w:numPr>
        <w:spacing w:after="90" w:line="276"/>
      </w:pPr>
      <w:r>
        <w:rPr>
          <w:rFonts w:ascii="Arial" w:cs="Arial" w:eastAsia="Arial" w:hAnsi="Arial"/>
          <w:color w:val="33332E"/>
          <w:sz w:val="21"/>
          <w:szCs w:val="21"/>
        </w:rPr>
        <w:t xml:space="preserve">Worker centers and wage-theft clinics</w:t>
      </w:r>
    </w:p>
    <w:p>
      <w:pPr>
        <w:pStyle w:val="ListParagraph"/>
        <w:numPr>
          <w:ilvl w:val="0"/>
          <w:numId w:val="2"/>
        </w:numPr>
        <w:spacing w:after="90" w:line="276"/>
      </w:pPr>
      <w:r>
        <w:rPr>
          <w:rFonts w:ascii="Arial" w:cs="Arial" w:eastAsia="Arial" w:hAnsi="Arial"/>
          <w:color w:val="33332E"/>
          <w:sz w:val="21"/>
          <w:szCs w:val="21"/>
        </w:rPr>
        <w:t xml:space="preserve">Immigrant entrepreneurship incubators and microloan programs</w:t>
      </w:r>
    </w:p>
    <w:p>
      <w:pPr>
        <w:pStyle w:val="ListParagraph"/>
        <w:numPr>
          <w:ilvl w:val="0"/>
          <w:numId w:val="2"/>
        </w:numPr>
        <w:spacing w:after="90" w:line="276"/>
      </w:pPr>
      <w:r>
        <w:rPr>
          <w:rFonts w:ascii="Arial" w:cs="Arial" w:eastAsia="Arial" w:hAnsi="Arial"/>
          <w:color w:val="33332E"/>
          <w:sz w:val="21"/>
          <w:szCs w:val="21"/>
        </w:rPr>
        <w:t xml:space="preserve">Financial literacy nonprofits serving newcomers</w:t>
      </w:r>
    </w:p>
    <w:p>
      <w:pPr>
        <w:pStyle w:val="ListParagraph"/>
        <w:numPr>
          <w:ilvl w:val="0"/>
          <w:numId w:val="2"/>
        </w:numPr>
        <w:spacing w:after="90" w:line="276"/>
      </w:pPr>
      <w:r>
        <w:rPr>
          <w:rFonts w:ascii="Arial" w:cs="Arial" w:eastAsia="Arial" w:hAnsi="Arial"/>
          <w:color w:val="33332E"/>
          <w:sz w:val="21"/>
          <w:szCs w:val="21"/>
        </w:rPr>
        <w:t xml:space="preserve">Farmworker or domestic worker advocacy organizations</w:t>
      </w:r>
    </w:p>
    <w:p>
      <w:pPr>
        <w:pStyle w:val="Heading2"/>
        <w:spacing w:after="120" w:before="260"/>
      </w:pPr>
      <w:r>
        <w:rPr>
          <w:rFonts w:ascii="Arial" w:cs="Arial" w:eastAsia="Arial" w:hAnsi="Arial"/>
          <w:b/>
          <w:bCs/>
          <w:color w:val="175A82"/>
          <w:sz w:val="24"/>
          <w:szCs w:val="24"/>
        </w:rPr>
        <w:t xml:space="preserve">Project steps</w:t>
      </w:r>
    </w:p>
    <w:p>
      <w:pPr>
        <w:pStyle w:val="ListParagraph"/>
        <w:numPr>
          <w:ilvl w:val="0"/>
          <w:numId w:val="3"/>
        </w:numPr>
        <w:spacing w:after="90" w:line="276"/>
      </w:pPr>
      <w:r>
        <w:rPr>
          <w:rFonts w:ascii="Arial" w:cs="Arial" w:eastAsia="Arial" w:hAnsi="Arial"/>
          <w:color w:val="33332E"/>
          <w:sz w:val="21"/>
          <w:szCs w:val="21"/>
        </w:rPr>
        <w:t xml:space="preserve">Complete partner orientation; learn what the partner sees as the priority need.</w:t>
      </w:r>
    </w:p>
    <w:p>
      <w:pPr>
        <w:pStyle w:val="ListParagraph"/>
        <w:numPr>
          <w:ilvl w:val="0"/>
          <w:numId w:val="3"/>
        </w:numPr>
        <w:spacing w:after="90" w:line="276"/>
      </w:pPr>
      <w:r>
        <w:rPr>
          <w:rFonts w:ascii="Arial" w:cs="Arial" w:eastAsia="Arial" w:hAnsi="Arial"/>
          <w:color w:val="33332E"/>
          <w:sz w:val="21"/>
          <w:szCs w:val="21"/>
        </w:rPr>
        <w:t xml:space="preserve">Serve directly: workshop logistics, ESL-for-work practice, childcare during trainings, outreach material distribution.</w:t>
      </w:r>
    </w:p>
    <w:p>
      <w:pPr>
        <w:pStyle w:val="ListParagraph"/>
        <w:numPr>
          <w:ilvl w:val="0"/>
          <w:numId w:val="3"/>
        </w:numPr>
        <w:spacing w:after="90" w:line="276"/>
      </w:pPr>
      <w:r>
        <w:rPr>
          <w:rFonts w:ascii="Arial" w:cs="Arial" w:eastAsia="Arial" w:hAnsi="Arial"/>
          <w:color w:val="33332E"/>
          <w:sz w:val="21"/>
          <w:szCs w:val="21"/>
        </w:rPr>
        <w:t xml:space="preserve">Co-produce one resource the partner requests: know-your-rights one-pager, small-business resource guide, banking-access explainer (partner reviews everything).</w:t>
      </w:r>
    </w:p>
    <w:p>
      <w:pPr>
        <w:pStyle w:val="ListParagraph"/>
        <w:numPr>
          <w:ilvl w:val="0"/>
          <w:numId w:val="3"/>
        </w:numPr>
        <w:spacing w:after="90" w:line="276"/>
      </w:pPr>
      <w:r>
        <w:rPr>
          <w:rFonts w:ascii="Arial" w:cs="Arial" w:eastAsia="Arial" w:hAnsi="Arial"/>
          <w:color w:val="33332E"/>
          <w:sz w:val="21"/>
          <w:szCs w:val="21"/>
        </w:rPr>
        <w:t xml:space="preserve">Learn the local labor market context: which sectors depend on migrant labor and what risks workers report.</w:t>
      </w:r>
    </w:p>
    <w:p>
      <w:pPr>
        <w:pStyle w:val="ListParagraph"/>
        <w:numPr>
          <w:ilvl w:val="0"/>
          <w:numId w:val="3"/>
        </w:numPr>
        <w:spacing w:after="90" w:line="276"/>
      </w:pPr>
      <w:r>
        <w:rPr>
          <w:rFonts w:ascii="Arial" w:cs="Arial" w:eastAsia="Arial" w:hAnsi="Arial"/>
          <w:color w:val="33332E"/>
          <w:sz w:val="21"/>
          <w:szCs w:val="21"/>
        </w:rPr>
        <w:t xml:space="preserve">Deliver the resource and gather partner feedback.</w:t>
      </w:r>
    </w:p>
    <w:p>
      <w:pPr>
        <w:pStyle w:val="ListParagraph"/>
        <w:numPr>
          <w:ilvl w:val="0"/>
          <w:numId w:val="3"/>
        </w:numPr>
        <w:spacing w:after="90" w:line="276"/>
      </w:pPr>
      <w:r>
        <w:rPr>
          <w:rFonts w:ascii="Arial" w:cs="Arial" w:eastAsia="Arial" w:hAnsi="Arial"/>
          <w:color w:val="33332E"/>
          <w:sz w:val="21"/>
          <w:szCs w:val="21"/>
        </w:rPr>
        <w:t xml:space="preserve">Reflection: connect what you saw to module debates on labor, contribution, and exploitation.</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Co-produced livelihood resource (partner keeps, partner-approved)</w:t>
      </w:r>
    </w:p>
    <w:p>
      <w:pPr>
        <w:pStyle w:val="ListParagraph"/>
        <w:numPr>
          <w:ilvl w:val="0"/>
          <w:numId w:val="2"/>
        </w:numPr>
        <w:spacing w:after="90" w:line="276"/>
      </w:pPr>
      <w:r>
        <w:rPr>
          <w:rFonts w:ascii="Arial" w:cs="Arial" w:eastAsia="Arial" w:hAnsi="Arial"/>
          <w:color w:val="33332E"/>
          <w:sz w:val="21"/>
          <w:szCs w:val="21"/>
        </w:rPr>
        <w:t xml:space="preserve">Service log</w:t>
      </w:r>
    </w:p>
    <w:p>
      <w:pPr>
        <w:pStyle w:val="ListParagraph"/>
        <w:numPr>
          <w:ilvl w:val="0"/>
          <w:numId w:val="2"/>
        </w:numPr>
        <w:spacing w:after="90" w:line="276"/>
      </w:pPr>
      <w:r>
        <w:rPr>
          <w:rFonts w:ascii="Arial" w:cs="Arial" w:eastAsia="Arial" w:hAnsi="Arial"/>
          <w:color w:val="33332E"/>
          <w:sz w:val="21"/>
          <w:szCs w:val="21"/>
        </w:rPr>
        <w:t xml:space="preserve">3-page reflection on labor and economy themes</w:t>
      </w:r>
    </w:p>
    <w:p>
      <w:pPr>
        <w:pStyle w:val="Heading2"/>
        <w:spacing w:after="120" w:before="260"/>
      </w:pPr>
      <w:r>
        <w:rPr>
          <w:rFonts w:ascii="Arial" w:cs="Arial" w:eastAsia="Arial" w:hAnsi="Arial"/>
          <w:b/>
          <w:bCs/>
          <w:color w:val="175A82"/>
          <w:sz w:val="24"/>
          <w:szCs w:val="24"/>
        </w:rPr>
        <w:t xml:space="preserve">Time commitment</w:t>
      </w:r>
    </w:p>
    <w:p>
      <w:pPr>
        <w:spacing w:after="160" w:line="276"/>
      </w:pPr>
      <w:r>
        <w:rPr>
          <w:rFonts w:ascii="Arial" w:cs="Arial" w:eastAsia="Arial" w:hAnsi="Arial"/>
          <w:color w:val="33332E"/>
          <w:sz w:val="21"/>
          <w:szCs w:val="21"/>
        </w:rPr>
        <w:t xml:space="preserve">15 hours.</w:t>
      </w:r>
    </w:p>
    <w:p>
      <w:pPr>
        <w:pStyle w:val="Heading2"/>
        <w:spacing w:after="120" w:before="260"/>
      </w:pPr>
      <w:r>
        <w:rPr>
          <w:rFonts w:ascii="Arial" w:cs="Arial" w:eastAsia="Arial" w:hAnsi="Arial"/>
          <w:b/>
          <w:bCs/>
          <w:color w:val="175A82"/>
          <w:sz w:val="24"/>
          <w:szCs w:val="24"/>
        </w:rPr>
        <w:t xml:space="preserve">Ethics requirements</w:t>
      </w:r>
    </w:p>
    <w:p>
      <w:pPr>
        <w:spacing w:after="160" w:line="276"/>
      </w:pPr>
      <w:r>
        <w:rPr>
          <w:rFonts w:ascii="Arial" w:cs="Arial" w:eastAsia="Arial" w:hAnsi="Arial"/>
          <w:color w:val="33332E"/>
          <w:sz w:val="21"/>
          <w:szCs w:val="21"/>
        </w:rPr>
        <w:t xml:space="preserve">Students never collect immigration status or wage information; all outreach materials are partner-approved.</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Service reliability and partner feedback</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Exceptional professionalism: service reliability and partner feedback is confirmed by strong partner or site feedback; the student was consistently prepared, dependable, and left the partner concretely better off.</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Solid professionalism: service reliability and partner feedback is confirmed by positive partner feedback; commitments were met with only minor scheduling or preparation issues.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Inconsistent professionalism: service reliability and partner feedback is partially met — missed sessions, uneven preparation, or partner feedback indicating the student required significant management.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Inadequate professionalism: service reliability and partner feedback is not met; commitments were unmet or the partner's experience was negative.</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Accuracy and usefulness of the resource</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excellent: accuracy and usefulness of the resource is met at a standard the partner or audience can use immediately — complete, accurate, well-organized, and genuinely useful.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good: accuracy and usefulness of the resource is met; it is usable with minor revisions and its purpose is clearly served.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incomplete: accuracy and usefulness of the resource is only partly met — gaps, errors, or unclear organization mean substantial revision is needed before it could be used.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inadequate: accuracy and usefulness of the resource is not met; the product is unusable, inaccurate, or missing major required elements.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Understanding of local labor market dynamics</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understanding of local labor market dynamics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understanding of local labor market dynamics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understanding of local labor market dynamics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understanding of local labor market dynamics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Reflection quality</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genuinely self-examining: reflection quality shows specific assumptions confronted with evidence, real change or evidenced confirmation, and questions that extend beyond the assignment.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substantive: reflection quality shows honest engagement with the student's own thinking, supported by course material, with occasional generality.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surface-level: reflection quality is attempted but stays safe or generic — conclusions asserted rather than examined, little connection to evidence.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performative or missing: reflection quality shows no genuine self-examination or contradicts the evidence presented.</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10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10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2026-07-21T19:52:49.425Z</dcterms:created>
  <dcterms:modified xsi:type="dcterms:W3CDTF">2026-07-21T19:52:49.425Z</dcterms:modified>
</cp:coreProperties>
</file>

<file path=docProps/custom.xml><?xml version="1.0" encoding="utf-8"?>
<Properties xmlns="http://schemas.openxmlformats.org/officeDocument/2006/custom-properties" xmlns:vt="http://schemas.openxmlformats.org/officeDocument/2006/docPropsVTypes"/>
</file>