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10: Migration, Labor, and the Economy</w:t>
      </w:r>
    </w:p>
    <w:p>
      <w:pPr>
        <w:pBdr>
          <w:bottom w:val="single" w:color="E7F2F9" w:sz="6" w:space="6"/>
        </w:pBdr>
        <w:spacing w:after="220"/>
      </w:pPr>
      <w:r>
        <w:rPr>
          <w:rFonts w:ascii="Arial" w:cs="Arial" w:eastAsia="Arial" w:hAnsi="Arial"/>
          <w:b/>
          <w:bCs/>
          <w:color w:val="175A82"/>
          <w:sz w:val="22"/>
          <w:szCs w:val="22"/>
        </w:rPr>
        <w:t xml:space="preserve">Signature Learning Experience</w:t>
      </w:r>
    </w:p>
    <w:p>
      <w:pPr>
        <w:pStyle w:val="Heading2"/>
        <w:spacing w:after="120" w:before="260"/>
      </w:pPr>
      <w:r>
        <w:rPr>
          <w:rFonts w:ascii="Arial" w:cs="Arial" w:eastAsia="Arial" w:hAnsi="Arial"/>
          <w:b/>
          <w:bCs/>
          <w:color w:val="175A82"/>
          <w:sz w:val="24"/>
          <w:szCs w:val="24"/>
        </w:rPr>
        <w:t xml:space="preserve">Purpose</w:t>
      </w:r>
    </w:p>
    <w:p>
      <w:pPr>
        <w:spacing w:after="160" w:line="276"/>
      </w:pPr>
      <w:r>
        <w:rPr>
          <w:rFonts w:ascii="Arial" w:cs="Arial" w:eastAsia="Arial" w:hAnsi="Arial"/>
          <w:color w:val="33332E"/>
          <w:sz w:val="21"/>
          <w:szCs w:val="21"/>
        </w:rPr>
        <w:t xml:space="preserve">A design challenge: teams develop a realistic livelihood intervention for a specific migrant population in a specific place — grounded in evidence about what actually improves economic outcomes, honest about constraints like work authorization, credential recognition, and exploitation risk.</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Describe the population's current labor market position (UG 1)</w:t>
      </w:r>
    </w:p>
    <w:p>
      <w:pPr>
        <w:pStyle w:val="ListParagraph"/>
        <w:numPr>
          <w:ilvl w:val="0"/>
          <w:numId w:val="2"/>
        </w:numPr>
        <w:spacing w:after="90" w:line="276"/>
      </w:pPr>
      <w:r>
        <w:rPr>
          <w:rFonts w:ascii="Arial" w:cs="Arial" w:eastAsia="Arial" w:hAnsi="Arial"/>
          <w:color w:val="33332E"/>
          <w:sz w:val="21"/>
          <w:szCs w:val="21"/>
        </w:rPr>
        <w:t xml:space="preserve">Identify their economic contributions and constraints (UG 2)</w:t>
      </w:r>
    </w:p>
    <w:p>
      <w:pPr>
        <w:pStyle w:val="ListParagraph"/>
        <w:numPr>
          <w:ilvl w:val="0"/>
          <w:numId w:val="2"/>
        </w:numPr>
        <w:spacing w:after="90" w:line="276"/>
      </w:pPr>
      <w:r>
        <w:rPr>
          <w:rFonts w:ascii="Arial" w:cs="Arial" w:eastAsia="Arial" w:hAnsi="Arial"/>
          <w:color w:val="33332E"/>
          <w:sz w:val="21"/>
          <w:szCs w:val="21"/>
        </w:rPr>
        <w:t xml:space="preserve">Explain the challenges — legal, financial, social — that the design must address (UG 3)</w:t>
      </w:r>
    </w:p>
    <w:p>
      <w:pPr>
        <w:pStyle w:val="ListParagraph"/>
        <w:numPr>
          <w:ilvl w:val="0"/>
          <w:numId w:val="2"/>
        </w:numPr>
        <w:spacing w:after="90" w:line="276"/>
      </w:pPr>
      <w:r>
        <w:rPr>
          <w:rFonts w:ascii="Arial" w:cs="Arial" w:eastAsia="Arial" w:hAnsi="Arial"/>
          <w:color w:val="33332E"/>
          <w:sz w:val="21"/>
          <w:szCs w:val="21"/>
        </w:rPr>
        <w:t xml:space="preserve">Recognize exploitation risks and build safeguards into the design (UG 4)</w:t>
      </w:r>
    </w:p>
    <w:p>
      <w:pPr>
        <w:pStyle w:val="Heading2"/>
        <w:spacing w:after="120" w:before="260"/>
      </w:pPr>
      <w:r>
        <w:rPr>
          <w:rFonts w:ascii="Arial" w:cs="Arial" w:eastAsia="Arial" w:hAnsi="Arial"/>
          <w:b/>
          <w:bCs/>
          <w:color w:val="175A82"/>
          <w:sz w:val="24"/>
          <w:szCs w:val="24"/>
        </w:rPr>
        <w:t xml:space="preserve">Graduate extension</w:t>
      </w:r>
    </w:p>
    <w:p>
      <w:pPr>
        <w:spacing w:after="160" w:line="276"/>
      </w:pPr>
      <w:r>
        <w:rPr>
          <w:rFonts w:ascii="Arial" w:cs="Arial" w:eastAsia="Arial" w:hAnsi="Arial"/>
          <w:color w:val="33332E"/>
          <w:sz w:val="21"/>
          <w:szCs w:val="21"/>
        </w:rPr>
        <w:t xml:space="preserve">Graduate students add an evaluation framework: theory of change, measurable indicators, comparison logic, and a funder-style two-page executive summary — turning the design into a fundable proposal (Grad 1–2).</w:t>
      </w:r>
    </w:p>
    <w:p>
      <w:pPr>
        <w:pStyle w:val="Heading2"/>
        <w:spacing w:after="120" w:before="260"/>
      </w:pPr>
      <w:r>
        <w:rPr>
          <w:rFonts w:ascii="Arial" w:cs="Arial" w:eastAsia="Arial" w:hAnsi="Arial"/>
          <w:b/>
          <w:bCs/>
          <w:color w:val="175A82"/>
          <w:sz w:val="24"/>
          <w:szCs w:val="24"/>
        </w:rPr>
        <w:t xml:space="preserve">Assignment steps</w:t>
      </w:r>
    </w:p>
    <w:p>
      <w:pPr>
        <w:pStyle w:val="ListParagraph"/>
        <w:numPr>
          <w:ilvl w:val="0"/>
          <w:numId w:val="3"/>
        </w:numPr>
        <w:spacing w:after="90" w:line="276"/>
      </w:pPr>
      <w:r>
        <w:rPr>
          <w:rFonts w:ascii="Arial" w:cs="Arial" w:eastAsia="Arial" w:hAnsi="Arial"/>
          <w:color w:val="33332E"/>
          <w:sz w:val="21"/>
          <w:szCs w:val="21"/>
        </w:rPr>
        <w:t xml:space="preserve">In teams, choose a population and place (e.g., resettled refugees in a mid-size US city; Venezuelan professionals in Bogotá facing credential barriers; migrant women in informal domestic work; newcomer youth aging out of school support).</w:t>
      </w:r>
    </w:p>
    <w:p>
      <w:pPr>
        <w:pStyle w:val="ListParagraph"/>
        <w:numPr>
          <w:ilvl w:val="0"/>
          <w:numId w:val="3"/>
        </w:numPr>
        <w:spacing w:after="90" w:line="276"/>
      </w:pPr>
      <w:r>
        <w:rPr>
          <w:rFonts w:ascii="Arial" w:cs="Arial" w:eastAsia="Arial" w:hAnsi="Arial"/>
          <w:color w:val="33332E"/>
          <w:sz w:val="21"/>
          <w:szCs w:val="21"/>
        </w:rPr>
        <w:t xml:space="preserve">Diagnose the binding constraint: research what most limits this group's livelihoods — not what's most visible, what's most binding.</w:t>
      </w:r>
    </w:p>
    <w:p>
      <w:pPr>
        <w:pStyle w:val="ListParagraph"/>
        <w:numPr>
          <w:ilvl w:val="0"/>
          <w:numId w:val="3"/>
        </w:numPr>
        <w:spacing w:after="90" w:line="276"/>
      </w:pPr>
      <w:r>
        <w:rPr>
          <w:rFonts w:ascii="Arial" w:cs="Arial" w:eastAsia="Arial" w:hAnsi="Arial"/>
          <w:color w:val="33332E"/>
          <w:sz w:val="21"/>
          <w:szCs w:val="21"/>
        </w:rPr>
        <w:t xml:space="preserve">Review evidence on what works: ILO and World Bank livelihood studies, RCT evidence from IRC/J-PAL, documented program models (credential fast-tracking, microenterprise, worker co-ops, sector-based training).</w:t>
      </w:r>
    </w:p>
    <w:p>
      <w:pPr>
        <w:pStyle w:val="ListParagraph"/>
        <w:numPr>
          <w:ilvl w:val="0"/>
          <w:numId w:val="3"/>
        </w:numPr>
        <w:spacing w:after="90" w:line="276"/>
      </w:pPr>
      <w:r>
        <w:rPr>
          <w:rFonts w:ascii="Arial" w:cs="Arial" w:eastAsia="Arial" w:hAnsi="Arial"/>
          <w:color w:val="33332E"/>
          <w:sz w:val="21"/>
          <w:szCs w:val="21"/>
        </w:rPr>
        <w:t xml:space="preserve">Design the intervention: who it serves, what it does, who runs it, what it costs roughly, and how it avoids known failure modes (creaming, dependency, displacement of other workers).</w:t>
      </w:r>
    </w:p>
    <w:p>
      <w:pPr>
        <w:pStyle w:val="ListParagraph"/>
        <w:numPr>
          <w:ilvl w:val="0"/>
          <w:numId w:val="3"/>
        </w:numPr>
        <w:spacing w:after="90" w:line="276"/>
      </w:pPr>
      <w:r>
        <w:rPr>
          <w:rFonts w:ascii="Arial" w:cs="Arial" w:eastAsia="Arial" w:hAnsi="Arial"/>
          <w:color w:val="33332E"/>
          <w:sz w:val="21"/>
          <w:szCs w:val="21"/>
        </w:rPr>
        <w:t xml:space="preserve">Name the exploitation risks in your chosen sector and show the specific safeguards in the design.</w:t>
      </w:r>
    </w:p>
    <w:p>
      <w:pPr>
        <w:pStyle w:val="ListParagraph"/>
        <w:numPr>
          <w:ilvl w:val="0"/>
          <w:numId w:val="3"/>
        </w:numPr>
        <w:spacing w:after="90" w:line="276"/>
      </w:pPr>
      <w:r>
        <w:rPr>
          <w:rFonts w:ascii="Arial" w:cs="Arial" w:eastAsia="Arial" w:hAnsi="Arial"/>
          <w:color w:val="33332E"/>
          <w:sz w:val="21"/>
          <w:szCs w:val="21"/>
        </w:rPr>
        <w:t xml:space="preserve">Pitch the design to the class in ten minutes; the class plays skeptical funders. Revise once and submit.</w:t>
      </w:r>
    </w:p>
    <w:p>
      <w:pPr>
        <w:pStyle w:val="Heading2"/>
        <w:spacing w:after="120" w:before="260"/>
      </w:pPr>
      <w:r>
        <w:rPr>
          <w:rFonts w:ascii="Arial" w:cs="Arial" w:eastAsia="Arial" w:hAnsi="Arial"/>
          <w:b/>
          <w:bCs/>
          <w:color w:val="175A82"/>
          <w:sz w:val="24"/>
          <w:szCs w:val="24"/>
        </w:rPr>
        <w:t xml:space="preserve">Deliverables &amp; format</w:t>
      </w:r>
    </w:p>
    <w:p>
      <w:pPr>
        <w:pStyle w:val="ListParagraph"/>
        <w:numPr>
          <w:ilvl w:val="0"/>
          <w:numId w:val="2"/>
        </w:numPr>
        <w:spacing w:after="90" w:line="276"/>
      </w:pPr>
      <w:r>
        <w:rPr>
          <w:rFonts w:ascii="Arial" w:cs="Arial" w:eastAsia="Arial" w:hAnsi="Arial"/>
          <w:color w:val="33332E"/>
          <w:sz w:val="21"/>
          <w:szCs w:val="21"/>
        </w:rPr>
        <w:t xml:space="preserve">Design document, 2,000–2,500 words per team, with a one-page program logic diagram (graduate adds evaluation framework and executive summary)</w:t>
      </w:r>
    </w:p>
    <w:p>
      <w:pPr>
        <w:pStyle w:val="ListParagraph"/>
        <w:numPr>
          <w:ilvl w:val="0"/>
          <w:numId w:val="2"/>
        </w:numPr>
        <w:spacing w:after="90" w:line="276"/>
      </w:pPr>
      <w:r>
        <w:rPr>
          <w:rFonts w:ascii="Arial" w:cs="Arial" w:eastAsia="Arial" w:hAnsi="Arial"/>
          <w:color w:val="33332E"/>
          <w:sz w:val="21"/>
          <w:szCs w:val="21"/>
        </w:rPr>
        <w:t xml:space="preserve">Evidence appendix: what works, with sources</w:t>
      </w:r>
    </w:p>
    <w:p>
      <w:pPr>
        <w:pStyle w:val="ListParagraph"/>
        <w:numPr>
          <w:ilvl w:val="0"/>
          <w:numId w:val="2"/>
        </w:numPr>
        <w:spacing w:after="90" w:line="276"/>
      </w:pPr>
      <w:r>
        <w:rPr>
          <w:rFonts w:ascii="Arial" w:cs="Arial" w:eastAsia="Arial" w:hAnsi="Arial"/>
          <w:color w:val="33332E"/>
          <w:sz w:val="21"/>
          <w:szCs w:val="21"/>
        </w:rPr>
        <w:t xml:space="preserve">Pitch deck or one-pager used in the presentation</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Sharpness of the constraint diagnosis</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sharpness of the constraint diagnosis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sharpness of the constraint diagnosis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sharpness of the constraint diagnosis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sharpness of the constraint diagnosis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Evidence base — design choices traced to what works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evidence base — design choices traced to what works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evidence base — design choices traced to what works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evidence base — design choices traced to what works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evidence base — design choices traced to what works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Realism: costs, operators, failure modes, safeguards</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excellent: realism: costs, operators, failure modes, safeguards is fully addressed — costs, constraints, politics, and failure modes are named honestly and the proposal remains workable anyway.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good: realism: costs, operators, failure modes, safeguards is addressed for the major factors, with minor blind spots that would not sink the proposal.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limited: realism: costs, operators, failure modes, safeguards is addressed superficially — key constraints or failure modes are ignored, making the proposal fragile.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missing: realism: costs, operators, failure modes, safeguards is not addressed; the proposal ignores obvious constraints and would not survive contact with reality.</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Pitch quality and team response to challenge questions</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Performance under questioning is outstanding: pitch quality and team response to challenge questions shows command of the material, direct engagement with hard questions, and revision that visibly improved the work.</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Performance is solid: pitch quality and team response to challenge questions shows good command and reasonable answers to challenges, with revision addressing the main feedback.</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Performance is shaky: pitch quality and team response to challenge questions shows incomplete command — questions deflected or answered vaguely, revision cosmetic.</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Performance is inadequate: pitch quality and team response to challenge questions shows the student could not explain or defend their own work, and feedback was not incorporated.</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10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10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2026-07-21T19:52:49.420Z</dcterms:created>
  <dcterms:modified xsi:type="dcterms:W3CDTF">2026-07-21T19:52:49.420Z</dcterms:modified>
</cp:coreProperties>
</file>

<file path=docProps/custom.xml><?xml version="1.0" encoding="utf-8"?>
<Properties xmlns="http://schemas.openxmlformats.org/officeDocument/2006/custom-properties" xmlns:vt="http://schemas.openxmlformats.org/officeDocument/2006/docPropsVTypes"/>
</file>