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11: Migrant Lives and Identities</w:t>
      </w:r>
    </w:p>
    <w:p>
      <w:pPr>
        <w:spacing w:after="60"/>
      </w:pPr>
      <w:r>
        <w:rPr>
          <w:rFonts w:ascii="Arial" w:cs="Arial" w:eastAsia="Arial" w:hAnsi="Arial"/>
          <w:b/>
          <w:bCs/>
          <w:color w:val="175A82"/>
          <w:sz w:val="22"/>
          <w:szCs w:val="22"/>
        </w:rPr>
        <w:t xml:space="preserve">Graduate Research Project</w:t>
      </w:r>
    </w:p>
    <w:p>
      <w:pPr>
        <w:pBdr>
          <w:bottom w:val="single" w:color="E7F2F9" w:sz="6" w:space="6"/>
        </w:pBdr>
        <w:spacing w:after="220"/>
      </w:pPr>
      <w:r>
        <w:rPr>
          <w:rFonts w:ascii="Arial" w:cs="Arial" w:eastAsia="Arial" w:hAnsi="Arial"/>
          <w:b/>
          <w:bCs/>
          <w:i/>
          <w:iCs/>
          <w:color w:val="33332E"/>
          <w:sz w:val="25"/>
          <w:szCs w:val="25"/>
        </w:rPr>
        <w:t xml:space="preserve">Intersectional Analysis of an Identity-Based Policy Impact</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A research paper applying intersectional analysis to one policy's differential impacts — for example, how asylum credibility assessments treat gender; how statelessness interacts with children's rights; how disability shapes access to protection.</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Apply intersectional analysis (Grad 1)</w:t>
      </w:r>
    </w:p>
    <w:p>
      <w:pPr>
        <w:pStyle w:val="ListParagraph"/>
        <w:numPr>
          <w:ilvl w:val="0"/>
          <w:numId w:val="2"/>
        </w:numPr>
        <w:spacing w:after="90" w:line="276"/>
      </w:pPr>
      <w:r>
        <w:rPr>
          <w:rFonts w:ascii="Arial" w:cs="Arial" w:eastAsia="Arial" w:hAnsi="Arial"/>
          <w:color w:val="33332E"/>
          <w:sz w:val="21"/>
          <w:szCs w:val="21"/>
        </w:rPr>
        <w:t xml:space="preserve">Evaluate identity-based policy impacts (Grad 2)</w:t>
      </w:r>
    </w:p>
    <w:p>
      <w:pPr>
        <w:pStyle w:val="Heading2"/>
        <w:spacing w:after="120" w:before="260"/>
      </w:pPr>
      <w:r>
        <w:rPr>
          <w:rFonts w:ascii="Arial" w:cs="Arial" w:eastAsia="Arial" w:hAnsi="Arial"/>
          <w:b/>
          <w:bCs/>
          <w:color w:val="175A82"/>
          <w:sz w:val="24"/>
          <w:szCs w:val="24"/>
        </w:rPr>
        <w:t xml:space="preserve">Sample research questions</w:t>
      </w:r>
    </w:p>
    <w:p>
      <w:pPr>
        <w:pStyle w:val="ListParagraph"/>
        <w:numPr>
          <w:ilvl w:val="0"/>
          <w:numId w:val="2"/>
        </w:numPr>
        <w:spacing w:after="90" w:line="276"/>
      </w:pPr>
      <w:r>
        <w:rPr>
          <w:rFonts w:ascii="Arial" w:cs="Arial" w:eastAsia="Arial" w:hAnsi="Arial"/>
          <w:color w:val="33332E"/>
          <w:sz w:val="21"/>
          <w:szCs w:val="21"/>
        </w:rPr>
        <w:t xml:space="preserve">Which intersecting identities does your chosen policy implicitly assume, and who falls outside that assumption?</w:t>
      </w:r>
    </w:p>
    <w:p>
      <w:pPr>
        <w:pStyle w:val="ListParagraph"/>
        <w:numPr>
          <w:ilvl w:val="0"/>
          <w:numId w:val="2"/>
        </w:numPr>
        <w:spacing w:after="90" w:line="276"/>
      </w:pPr>
      <w:r>
        <w:rPr>
          <w:rFonts w:ascii="Arial" w:cs="Arial" w:eastAsia="Arial" w:hAnsi="Arial"/>
          <w:color w:val="33332E"/>
          <w:sz w:val="21"/>
          <w:szCs w:val="21"/>
        </w:rPr>
        <w:t xml:space="preserve">What does the evidence show about differential outcomes across groups?</w:t>
      </w:r>
    </w:p>
    <w:p>
      <w:pPr>
        <w:pStyle w:val="ListParagraph"/>
        <w:numPr>
          <w:ilvl w:val="0"/>
          <w:numId w:val="2"/>
        </w:numPr>
        <w:spacing w:after="90" w:line="276"/>
      </w:pPr>
      <w:r>
        <w:rPr>
          <w:rFonts w:ascii="Arial" w:cs="Arial" w:eastAsia="Arial" w:hAnsi="Arial"/>
          <w:color w:val="33332E"/>
          <w:sz w:val="21"/>
          <w:szCs w:val="21"/>
        </w:rPr>
        <w:t xml:space="preserve">What policy redesign would the intersectional analysis support?</w:t>
      </w:r>
    </w:p>
    <w:p>
      <w:pPr>
        <w:pStyle w:val="Heading2"/>
        <w:spacing w:after="120" w:before="260"/>
      </w:pPr>
      <w:r>
        <w:rPr>
          <w:rFonts w:ascii="Arial" w:cs="Arial" w:eastAsia="Arial" w:hAnsi="Arial"/>
          <w:b/>
          <w:bCs/>
          <w:color w:val="175A82"/>
          <w:sz w:val="24"/>
          <w:szCs w:val="24"/>
        </w:rPr>
        <w:t xml:space="preserve">Methods</w:t>
      </w:r>
    </w:p>
    <w:p>
      <w:pPr>
        <w:spacing w:after="160" w:line="276"/>
      </w:pPr>
      <w:r>
        <w:rPr>
          <w:rFonts w:ascii="Arial" w:cs="Arial" w:eastAsia="Arial" w:hAnsi="Arial"/>
          <w:color w:val="33332E"/>
          <w:sz w:val="21"/>
          <w:szCs w:val="21"/>
        </w:rPr>
        <w:t xml:space="preserve">Intersectional policy analysis combining legal/policy documents, disaggregated outcome data where available, and qualitative scholarship. Optional interviews with advocates (IRB required if so).</w:t>
      </w:r>
    </w:p>
    <w:p>
      <w:pPr>
        <w:pStyle w:val="Heading2"/>
        <w:spacing w:after="120" w:before="260"/>
      </w:pPr>
      <w:r>
        <w:rPr>
          <w:rFonts w:ascii="Arial" w:cs="Arial" w:eastAsia="Arial" w:hAnsi="Arial"/>
          <w:b/>
          <w:bCs/>
          <w:color w:val="175A82"/>
          <w:sz w:val="24"/>
          <w:szCs w:val="24"/>
        </w:rPr>
        <w:t xml:space="preserve">IRB / research ethics</w:t>
      </w:r>
    </w:p>
    <w:p>
      <w:pPr>
        <w:spacing w:after="160" w:line="276"/>
      </w:pPr>
      <w:r>
        <w:rPr>
          <w:rFonts w:ascii="Arial" w:cs="Arial" w:eastAsia="Arial" w:hAnsi="Arial"/>
          <w:color w:val="33332E"/>
          <w:sz w:val="21"/>
          <w:szCs w:val="21"/>
        </w:rPr>
        <w:t xml:space="preserve">Not required for documentary design; required for any interviews.</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4,000–5,000-word analytical paper</w:t>
      </w:r>
    </w:p>
    <w:p>
      <w:pPr>
        <w:pStyle w:val="ListParagraph"/>
        <w:numPr>
          <w:ilvl w:val="0"/>
          <w:numId w:val="2"/>
        </w:numPr>
        <w:spacing w:after="90" w:line="276"/>
      </w:pPr>
      <w:r>
        <w:rPr>
          <w:rFonts w:ascii="Arial" w:cs="Arial" w:eastAsia="Arial" w:hAnsi="Arial"/>
          <w:color w:val="33332E"/>
          <w:sz w:val="21"/>
          <w:szCs w:val="21"/>
        </w:rPr>
        <w:t xml:space="preserve">Policy redesign brief (2 pages)</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Depth and discipline of the intersectional method — analysis, not adjective</w:t>
            </w:r>
          </w:p>
          <w:p>
            <w:pPr>
              <w:spacing w:after="40" w:line="250"/>
            </w:pPr>
            <w:r>
              <w:rPr>
                <w:rFonts w:ascii="Arial" w:cs="Arial" w:eastAsia="Arial" w:hAnsi="Arial"/>
                <w:b/>
                <w:bCs/>
                <w:color w:val="175A82"/>
                <w:sz w:val="18"/>
                <w:szCs w:val="18"/>
              </w:rPr>
              <w:t xml:space="preserve">35%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rigorous and transparent: depth and discipline of the intersectional method — analysis, not adjective is fully documented, choices are justified, limitations are stated, and another student could replicate the work from what is written.</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sound: depth and discipline of the intersectional method — analysis, not adjective is documented and mostly justified, with limitations acknowledged; small gaps would not change the findings.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partial: depth and discipline of the intersectional method — analysis, not adjective is described but under-documented or inconsistently applied, leaving findings plausible but not checkable.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absent or unsound: depth and discipline of the intersectional method — analysis, not adjective is missing, undocumented, or applied so loosely that the findings cannot be trusted.</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Evidence quality on differential impacts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evidence quality on differential impacts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evidence quality on differential impacts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evidence quality on differential impacts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evidence quality on differential impacts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Policy redesign plausibility</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excellent: policy redesign plausibility is fully addressed — costs, constraints, politics, and failure modes are named honestly and the proposal remains workable anyway.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good: policy redesign plausibility is addressed for the major factors, with minor blind spots that would not sink the proposal.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limited: policy redesign plausibility is addressed superficially — key constraints or failure modes are ignored, making the proposal fragile.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missing: policy redesign plausibility is not addressed; the proposal ignores obvious constraints and would not survive contact with reality.</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Writing quality</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writing quality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writing quality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writing quality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writing quality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11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11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2026-07-21T19:52:49.450Z</dcterms:created>
  <dcterms:modified xsi:type="dcterms:W3CDTF">2026-07-21T19:52:49.450Z</dcterms:modified>
</cp:coreProperties>
</file>

<file path=docProps/custom.xml><?xml version="1.0" encoding="utf-8"?>
<Properties xmlns="http://schemas.openxmlformats.org/officeDocument/2006/custom-properties" xmlns:vt="http://schemas.openxmlformats.org/officeDocument/2006/docPropsVTypes"/>
</file>