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11: Migrant Lives and Identities</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Belonging in Practice: Mentorship with Migrant Youth or Newcomer Programs</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Serve as a mentor, tutor, or program assistant with a migrant youth or newcomer program, then analyze how the program supports — or overlooks — the identity dynamics studied in this module.</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identity dynamics observed in programming (UG 1)</w:t>
      </w:r>
    </w:p>
    <w:p>
      <w:pPr>
        <w:pStyle w:val="ListParagraph"/>
        <w:numPr>
          <w:ilvl w:val="0"/>
          <w:numId w:val="2"/>
        </w:numPr>
        <w:spacing w:after="90" w:line="276"/>
      </w:pPr>
      <w:r>
        <w:rPr>
          <w:rFonts w:ascii="Arial" w:cs="Arial" w:eastAsia="Arial" w:hAnsi="Arial"/>
          <w:color w:val="33332E"/>
          <w:sz w:val="21"/>
          <w:szCs w:val="21"/>
        </w:rPr>
        <w:t xml:space="preserve">Identify forms of exclusion and how programs counter them (UG 2)</w:t>
      </w:r>
    </w:p>
    <w:p>
      <w:pPr>
        <w:pStyle w:val="ListParagraph"/>
        <w:numPr>
          <w:ilvl w:val="0"/>
          <w:numId w:val="2"/>
        </w:numPr>
        <w:spacing w:after="90" w:line="276"/>
      </w:pPr>
      <w:r>
        <w:rPr>
          <w:rFonts w:ascii="Arial" w:cs="Arial" w:eastAsia="Arial" w:hAnsi="Arial"/>
          <w:color w:val="33332E"/>
          <w:sz w:val="21"/>
          <w:szCs w:val="21"/>
        </w:rPr>
        <w:t xml:space="preserve">Explain intersectionality using concrete program design questions (UG 3)</w:t>
      </w:r>
    </w:p>
    <w:p>
      <w:pPr>
        <w:pStyle w:val="ListParagraph"/>
        <w:numPr>
          <w:ilvl w:val="0"/>
          <w:numId w:val="2"/>
        </w:numPr>
        <w:spacing w:after="90" w:line="276"/>
      </w:pPr>
      <w:r>
        <w:rPr>
          <w:rFonts w:ascii="Arial" w:cs="Arial" w:eastAsia="Arial" w:hAnsi="Arial"/>
          <w:color w:val="33332E"/>
          <w:sz w:val="21"/>
          <w:szCs w:val="21"/>
        </w:rPr>
        <w:t xml:space="preserve">Recognize diversity within migrant communities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Newcomer youth mentoring and tutoring programs</w:t>
      </w:r>
    </w:p>
    <w:p>
      <w:pPr>
        <w:pStyle w:val="ListParagraph"/>
        <w:numPr>
          <w:ilvl w:val="0"/>
          <w:numId w:val="2"/>
        </w:numPr>
        <w:spacing w:after="90" w:line="276"/>
      </w:pPr>
      <w:r>
        <w:rPr>
          <w:rFonts w:ascii="Arial" w:cs="Arial" w:eastAsia="Arial" w:hAnsi="Arial"/>
          <w:color w:val="33332E"/>
          <w:sz w:val="21"/>
          <w:szCs w:val="21"/>
        </w:rPr>
        <w:t xml:space="preserve">Community centers with intercultural programming</w:t>
      </w:r>
    </w:p>
    <w:p>
      <w:pPr>
        <w:pStyle w:val="ListParagraph"/>
        <w:numPr>
          <w:ilvl w:val="0"/>
          <w:numId w:val="2"/>
        </w:numPr>
        <w:spacing w:after="90" w:line="276"/>
      </w:pPr>
      <w:r>
        <w:rPr>
          <w:rFonts w:ascii="Arial" w:cs="Arial" w:eastAsia="Arial" w:hAnsi="Arial"/>
          <w:color w:val="33332E"/>
          <w:sz w:val="21"/>
          <w:szCs w:val="21"/>
        </w:rPr>
        <w:t xml:space="preserve">School-based newcomer academies</w:t>
      </w:r>
    </w:p>
    <w:p>
      <w:pPr>
        <w:pStyle w:val="ListParagraph"/>
        <w:numPr>
          <w:ilvl w:val="0"/>
          <w:numId w:val="2"/>
        </w:numPr>
        <w:spacing w:after="90" w:line="276"/>
      </w:pPr>
      <w:r>
        <w:rPr>
          <w:rFonts w:ascii="Arial" w:cs="Arial" w:eastAsia="Arial" w:hAnsi="Arial"/>
          <w:color w:val="33332E"/>
          <w:sz w:val="21"/>
          <w:szCs w:val="21"/>
        </w:rPr>
        <w:t xml:space="preserve">Girls'/women's groups, disability services, or LGBTQ+ newcomer programs (identity-specific settings)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Complete partner training including youth-protection requirements (background check where required).</w:t>
      </w:r>
    </w:p>
    <w:p>
      <w:pPr>
        <w:pStyle w:val="ListParagraph"/>
        <w:numPr>
          <w:ilvl w:val="0"/>
          <w:numId w:val="3"/>
        </w:numPr>
        <w:spacing w:after="90" w:line="276"/>
      </w:pPr>
      <w:r>
        <w:rPr>
          <w:rFonts w:ascii="Arial" w:cs="Arial" w:eastAsia="Arial" w:hAnsi="Arial"/>
          <w:color w:val="33332E"/>
          <w:sz w:val="21"/>
          <w:szCs w:val="21"/>
        </w:rPr>
        <w:t xml:space="preserve">Serve consistently — the same program, 5+ sessions; relationships are the point.</w:t>
      </w:r>
    </w:p>
    <w:p>
      <w:pPr>
        <w:pStyle w:val="ListParagraph"/>
        <w:numPr>
          <w:ilvl w:val="0"/>
          <w:numId w:val="3"/>
        </w:numPr>
        <w:spacing w:after="90" w:line="276"/>
      </w:pPr>
      <w:r>
        <w:rPr>
          <w:rFonts w:ascii="Arial" w:cs="Arial" w:eastAsia="Arial" w:hAnsi="Arial"/>
          <w:color w:val="33332E"/>
          <w:sz w:val="21"/>
          <w:szCs w:val="21"/>
        </w:rPr>
        <w:t xml:space="preserve">Observe (journal, de-identified) how age, gender, language, disability, and legal status interact in participants' experiences.</w:t>
      </w:r>
    </w:p>
    <w:p>
      <w:pPr>
        <w:pStyle w:val="ListParagraph"/>
        <w:numPr>
          <w:ilvl w:val="0"/>
          <w:numId w:val="3"/>
        </w:numPr>
        <w:spacing w:after="90" w:line="276"/>
      </w:pPr>
      <w:r>
        <w:rPr>
          <w:rFonts w:ascii="Arial" w:cs="Arial" w:eastAsia="Arial" w:hAnsi="Arial"/>
          <w:color w:val="33332E"/>
          <w:sz w:val="21"/>
          <w:szCs w:val="21"/>
        </w:rPr>
        <w:t xml:space="preserve">Analyze the program itself through an intersectional lens: whom does its design fit best? Who might it unintentionally miss?</w:t>
      </w:r>
    </w:p>
    <w:p>
      <w:pPr>
        <w:pStyle w:val="ListParagraph"/>
        <w:numPr>
          <w:ilvl w:val="0"/>
          <w:numId w:val="3"/>
        </w:numPr>
        <w:spacing w:after="90" w:line="276"/>
      </w:pPr>
      <w:r>
        <w:rPr>
          <w:rFonts w:ascii="Arial" w:cs="Arial" w:eastAsia="Arial" w:hAnsi="Arial"/>
          <w:color w:val="33332E"/>
          <w:sz w:val="21"/>
          <w:szCs w:val="21"/>
        </w:rPr>
        <w:t xml:space="preserve">Discuss your analysis with program staff as a constructive conversation, not a critique dropped on them.</w:t>
      </w:r>
    </w:p>
    <w:p>
      <w:pPr>
        <w:pStyle w:val="ListParagraph"/>
        <w:numPr>
          <w:ilvl w:val="0"/>
          <w:numId w:val="3"/>
        </w:numPr>
        <w:spacing w:after="90" w:line="276"/>
      </w:pPr>
      <w:r>
        <w:rPr>
          <w:rFonts w:ascii="Arial" w:cs="Arial" w:eastAsia="Arial" w:hAnsi="Arial"/>
          <w:color w:val="33332E"/>
          <w:sz w:val="21"/>
          <w:szCs w:val="21"/>
        </w:rPr>
        <w:t xml:space="preserve">Final paper: identity-informed program reflection.</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Session log with site sign-off</w:t>
      </w:r>
    </w:p>
    <w:p>
      <w:pPr>
        <w:pStyle w:val="ListParagraph"/>
        <w:numPr>
          <w:ilvl w:val="0"/>
          <w:numId w:val="2"/>
        </w:numPr>
        <w:spacing w:after="90" w:line="276"/>
      </w:pPr>
      <w:r>
        <w:rPr>
          <w:rFonts w:ascii="Arial" w:cs="Arial" w:eastAsia="Arial" w:hAnsi="Arial"/>
          <w:color w:val="33332E"/>
          <w:sz w:val="21"/>
          <w:szCs w:val="21"/>
        </w:rPr>
        <w:t xml:space="preserve">Observation journal (de-identified)</w:t>
      </w:r>
    </w:p>
    <w:p>
      <w:pPr>
        <w:pStyle w:val="ListParagraph"/>
        <w:numPr>
          <w:ilvl w:val="0"/>
          <w:numId w:val="2"/>
        </w:numPr>
        <w:spacing w:after="90" w:line="276"/>
      </w:pPr>
      <w:r>
        <w:rPr>
          <w:rFonts w:ascii="Arial" w:cs="Arial" w:eastAsia="Arial" w:hAnsi="Arial"/>
          <w:color w:val="33332E"/>
          <w:sz w:val="21"/>
          <w:szCs w:val="21"/>
        </w:rPr>
        <w:t xml:space="preserve">4-page intersectional program analysis</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16–18 hours across at least five sessions.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Youth-protection rules are absolute; students never probe participants' status, trauma, or family situations.</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Commitment and relationship quality, per site feedback</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Exceptional professionalism: commitment and relationship quality, per site feedback is confirmed by strong partner or site feedback; the student was consistently prepared, dependable, and left the partner concretely better off.</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Solid professionalism: commitment and relationship quality, per site feedback is confirmed by positive partner feedback; commitments were met with only minor scheduling or preparation issues.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Inconsistent professionalism: commitment and relationship quality, per site feedback is partially met — missed sessions, uneven preparation, or partner feedback indicating the student required significant management.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Inadequate professionalism: commitment and relationship quality, per site feedback is not met; commitments were unmet or the partner's experience was negative.</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Sound use of identity/intersectionality concepts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sound use of identity/intersectionality concepts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sound use of identity/intersectionality concepts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sound use of identity/intersectionality concepts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sound use of identity/intersectionality concepts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Fairness and constructiveness of program analysis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fairness and constructiveness of program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fairness and constructiveness of program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fairness and constructiveness of program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fairness and constructiveness of program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Journal reflection quality</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journal reflection quality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journal reflection quality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journal reflection quality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journal reflection quality shows no genuine self-examination or contradicts the evidence presented.</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11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11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2026-07-21T19:52:49.443Z</dcterms:created>
  <dcterms:modified xsi:type="dcterms:W3CDTF">2026-07-21T19:52:49.443Z</dcterms:modified>
</cp:coreProperties>
</file>

<file path=docProps/custom.xml><?xml version="1.0" encoding="utf-8"?>
<Properties xmlns="http://schemas.openxmlformats.org/officeDocument/2006/custom-properties" xmlns:vt="http://schemas.openxmlformats.org/officeDocument/2006/docPropsVTypes"/>
</file>