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11: Migrant Lives and Identities</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Students analyze how migration reshapes identity and belonging — through an identity map of a real person's intersecting identities (from published narrative or consenting participant) or a case-based analysis of one identity dimension. The discipline is intersectionality used as an analytical tool, not a buzzword.</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identity dynamics — formation, negotiation, belonging (UG 1)</w:t>
      </w:r>
    </w:p>
    <w:p>
      <w:pPr>
        <w:pStyle w:val="ListParagraph"/>
        <w:numPr>
          <w:ilvl w:val="0"/>
          <w:numId w:val="2"/>
        </w:numPr>
        <w:spacing w:after="90" w:line="276"/>
      </w:pPr>
      <w:r>
        <w:rPr>
          <w:rFonts w:ascii="Arial" w:cs="Arial" w:eastAsia="Arial" w:hAnsi="Arial"/>
          <w:color w:val="33332E"/>
          <w:sz w:val="21"/>
          <w:szCs w:val="21"/>
        </w:rPr>
        <w:t xml:space="preserve">Identify forms of exclusion the person or group encounters (UG 2)</w:t>
      </w:r>
    </w:p>
    <w:p>
      <w:pPr>
        <w:pStyle w:val="ListParagraph"/>
        <w:numPr>
          <w:ilvl w:val="0"/>
          <w:numId w:val="2"/>
        </w:numPr>
        <w:spacing w:after="90" w:line="276"/>
      </w:pPr>
      <w:r>
        <w:rPr>
          <w:rFonts w:ascii="Arial" w:cs="Arial" w:eastAsia="Arial" w:hAnsi="Arial"/>
          <w:color w:val="33332E"/>
          <w:sz w:val="21"/>
          <w:szCs w:val="21"/>
        </w:rPr>
        <w:t xml:space="preserve">Explain intersectionality through concrete, specific analysis (UG 3)</w:t>
      </w:r>
    </w:p>
    <w:p>
      <w:pPr>
        <w:pStyle w:val="ListParagraph"/>
        <w:numPr>
          <w:ilvl w:val="0"/>
          <w:numId w:val="2"/>
        </w:numPr>
        <w:spacing w:after="90" w:line="276"/>
      </w:pPr>
      <w:r>
        <w:rPr>
          <w:rFonts w:ascii="Arial" w:cs="Arial" w:eastAsia="Arial" w:hAnsi="Arial"/>
          <w:color w:val="33332E"/>
          <w:sz w:val="21"/>
          <w:szCs w:val="21"/>
        </w:rPr>
        <w:t xml:space="preserve">Recognize diversity within migrant communities — no monoliths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extend to policy: take one identity intersection (e.g., gender and asylum credibility; disability and refugee resettlement; statelessness and children's rights) and analyze how a specific policy treats it, with disaggregated evidence where available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Choose your track. Track A (identity map): select a published first-person source — memoir, long-form interview, documentary — from the module's list or with approval. Track B (case analysis): select one identity dimension and one migrant population.</w:t>
      </w:r>
    </w:p>
    <w:p>
      <w:pPr>
        <w:pStyle w:val="ListParagraph"/>
        <w:numPr>
          <w:ilvl w:val="0"/>
          <w:numId w:val="3"/>
        </w:numPr>
        <w:spacing w:after="90" w:line="276"/>
      </w:pPr>
      <w:r>
        <w:rPr>
          <w:rFonts w:ascii="Arial" w:cs="Arial" w:eastAsia="Arial" w:hAnsi="Arial"/>
          <w:color w:val="33332E"/>
          <w:sz w:val="21"/>
          <w:szCs w:val="21"/>
        </w:rPr>
        <w:t xml:space="preserve">For Track A: map the person's intersecting identities (age, gender, legal status, language, religion, class, disability) and how each shaped their migration and belonging — noting where identities compound and where they conflict.</w:t>
      </w:r>
    </w:p>
    <w:p>
      <w:pPr>
        <w:pStyle w:val="ListParagraph"/>
        <w:numPr>
          <w:ilvl w:val="0"/>
          <w:numId w:val="3"/>
        </w:numPr>
        <w:spacing w:after="90" w:line="276"/>
      </w:pPr>
      <w:r>
        <w:rPr>
          <w:rFonts w:ascii="Arial" w:cs="Arial" w:eastAsia="Arial" w:hAnsi="Arial"/>
          <w:color w:val="33332E"/>
          <w:sz w:val="21"/>
          <w:szCs w:val="21"/>
        </w:rPr>
        <w:t xml:space="preserve">For Track B: gather evidence on how the chosen dimension shapes outcomes for the population — disaggregated data where it exists, qualitative scholarship where it doesn't.</w:t>
      </w:r>
    </w:p>
    <w:p>
      <w:pPr>
        <w:pStyle w:val="ListParagraph"/>
        <w:numPr>
          <w:ilvl w:val="0"/>
          <w:numId w:val="3"/>
        </w:numPr>
        <w:spacing w:after="90" w:line="276"/>
      </w:pPr>
      <w:r>
        <w:rPr>
          <w:rFonts w:ascii="Arial" w:cs="Arial" w:eastAsia="Arial" w:hAnsi="Arial"/>
          <w:color w:val="33332E"/>
          <w:sz w:val="21"/>
          <w:szCs w:val="21"/>
        </w:rPr>
        <w:t xml:space="preserve">In both tracks: identify at least one exclusion mechanism (legal, social, economic) and one belonging/resilience strategy visible in your material.</w:t>
      </w:r>
    </w:p>
    <w:p>
      <w:pPr>
        <w:pStyle w:val="ListParagraph"/>
        <w:numPr>
          <w:ilvl w:val="0"/>
          <w:numId w:val="3"/>
        </w:numPr>
        <w:spacing w:after="90" w:line="276"/>
      </w:pPr>
      <w:r>
        <w:rPr>
          <w:rFonts w:ascii="Arial" w:cs="Arial" w:eastAsia="Arial" w:hAnsi="Arial"/>
          <w:color w:val="33332E"/>
          <w:sz w:val="21"/>
          <w:szCs w:val="21"/>
        </w:rPr>
        <w:t xml:space="preserve">Apply intersectionality precisely: show an outcome that cannot be explained by any single identity category alone.</w:t>
      </w:r>
    </w:p>
    <w:p>
      <w:pPr>
        <w:pStyle w:val="ListParagraph"/>
        <w:numPr>
          <w:ilvl w:val="0"/>
          <w:numId w:val="3"/>
        </w:numPr>
        <w:spacing w:after="90" w:line="276"/>
      </w:pPr>
      <w:r>
        <w:rPr>
          <w:rFonts w:ascii="Arial" w:cs="Arial" w:eastAsia="Arial" w:hAnsi="Arial"/>
          <w:color w:val="33332E"/>
          <w:sz w:val="21"/>
          <w:szCs w:val="21"/>
        </w:rPr>
        <w:t xml:space="preserve">Write the analysis; workshop one page of it in the seminar session before final submission.</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Identity map (visual) plus analysis, or case analysis — 1,500–1,800 words either track (graduate: 2,500 with policy application)</w:t>
      </w:r>
    </w:p>
    <w:p>
      <w:pPr>
        <w:pStyle w:val="ListParagraph"/>
        <w:numPr>
          <w:ilvl w:val="0"/>
          <w:numId w:val="2"/>
        </w:numPr>
        <w:spacing w:after="90" w:line="276"/>
      </w:pPr>
      <w:r>
        <w:rPr>
          <w:rFonts w:ascii="Arial" w:cs="Arial" w:eastAsia="Arial" w:hAnsi="Arial"/>
          <w:color w:val="33332E"/>
          <w:sz w:val="21"/>
          <w:szCs w:val="21"/>
        </w:rPr>
        <w:t xml:space="preserve">Evidence list with a note on what each source contributed</w:t>
      </w:r>
    </w:p>
    <w:p>
      <w:pPr>
        <w:pStyle w:val="ListParagraph"/>
        <w:numPr>
          <w:ilvl w:val="0"/>
          <w:numId w:val="2"/>
        </w:numPr>
        <w:spacing w:after="90" w:line="276"/>
      </w:pPr>
      <w:r>
        <w:rPr>
          <w:rFonts w:ascii="Arial" w:cs="Arial" w:eastAsia="Arial" w:hAnsi="Arial"/>
          <w:color w:val="33332E"/>
          <w:sz w:val="21"/>
          <w:szCs w:val="21"/>
        </w:rPr>
        <w:t xml:space="preserve">One-paragraph reflection on the limits of your analysis — what you cannot know from outside</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Analytical precision — intersectionality demonstrated, not invoked</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analytical precision — intersectionality demonstrated, not invoked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analytical precision — intersectionality demonstrated, not invoked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analytical precision — intersectionality demonstrated, not invoked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analytical precision — intersectionality demonstrated, not invoked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quality and respectful use of narrative material</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evidence quality and respectful use of narrative material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evidence quality and respectful use of narrative material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evidence quality and respectful use of narrative material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evidence quality and respectful use of narrative material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Identification of exclusion mechanisms and agency</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identification of exclusion mechanisms and agency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identification of exclusion mechanisms and agency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identification of exclusion mechanisms and agency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identification of exclusion mechanisms and agency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Clarity of writing and visuals</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clarity of writing and visuals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clarity of writing and visuals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clarity of writing and visuals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clarity of writing and visuals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11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11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2026-07-21T19:52:49.438Z</dcterms:created>
  <dcterms:modified xsi:type="dcterms:W3CDTF">2026-07-21T19:52:49.438Z</dcterms:modified>
</cp:coreProperties>
</file>

<file path=docProps/custom.xml><?xml version="1.0" encoding="utf-8"?>
<Properties xmlns="http://schemas.openxmlformats.org/officeDocument/2006/custom-properties" xmlns:vt="http://schemas.openxmlformats.org/officeDocument/2006/docPropsVTypes"/>
</file>