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12: Media, Narratives, and Representation</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Framing the Migrant: A Content Analysis of Media Coverage</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 systematic content analysis of migration coverage across contrasting outlets, testing how framing varies and how it tracks policy moments.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Critique narrative construction systematically (Grad 1)</w:t>
      </w:r>
    </w:p>
    <w:p>
      <w:pPr>
        <w:pStyle w:val="ListParagraph"/>
        <w:numPr>
          <w:ilvl w:val="0"/>
          <w:numId w:val="2"/>
        </w:numPr>
        <w:spacing w:after="90" w:line="276"/>
      </w:pPr>
      <w:r>
        <w:rPr>
          <w:rFonts w:ascii="Arial" w:cs="Arial" w:eastAsia="Arial" w:hAnsi="Arial"/>
          <w:color w:val="33332E"/>
          <w:sz w:val="21"/>
          <w:szCs w:val="21"/>
        </w:rPr>
        <w:t xml:space="preserve">Evaluate influence of narratives on policy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How do frames (threat, victim, contributor, invasion, crisis) distribute across your chosen outlets and period?</w:t>
      </w:r>
    </w:p>
    <w:p>
      <w:pPr>
        <w:pStyle w:val="ListParagraph"/>
        <w:numPr>
          <w:ilvl w:val="0"/>
          <w:numId w:val="2"/>
        </w:numPr>
        <w:spacing w:after="90" w:line="276"/>
      </w:pPr>
      <w:r>
        <w:rPr>
          <w:rFonts w:ascii="Arial" w:cs="Arial" w:eastAsia="Arial" w:hAnsi="Arial"/>
          <w:color w:val="33332E"/>
          <w:sz w:val="21"/>
          <w:szCs w:val="21"/>
        </w:rPr>
        <w:t xml:space="preserve">Whose voices are quoted — migrants, officials, advocates — and how does sourcing shape the frame?</w:t>
      </w:r>
    </w:p>
    <w:p>
      <w:pPr>
        <w:pStyle w:val="ListParagraph"/>
        <w:numPr>
          <w:ilvl w:val="0"/>
          <w:numId w:val="2"/>
        </w:numPr>
        <w:spacing w:after="90" w:line="276"/>
      </w:pPr>
      <w:r>
        <w:rPr>
          <w:rFonts w:ascii="Arial" w:cs="Arial" w:eastAsia="Arial" w:hAnsi="Arial"/>
          <w:color w:val="33332E"/>
          <w:sz w:val="21"/>
          <w:szCs w:val="21"/>
        </w:rPr>
        <w:t xml:space="preserve">Do framing shifts precede, follow, or track policy events in your window?</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Quantitative content analysis: defined sampling frame (outlets, dates, search terms), a documented codebook, double-coding a subsample for reliability, plus qualitative close reading of exemplar pieces.</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 published media content.</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Codebook and corpus documentation (methods appendix)</w:t>
      </w:r>
    </w:p>
    <w:p>
      <w:pPr>
        <w:pStyle w:val="ListParagraph"/>
        <w:numPr>
          <w:ilvl w:val="0"/>
          <w:numId w:val="2"/>
        </w:numPr>
        <w:spacing w:after="90" w:line="276"/>
      </w:pPr>
      <w:r>
        <w:rPr>
          <w:rFonts w:ascii="Arial" w:cs="Arial" w:eastAsia="Arial" w:hAnsi="Arial"/>
          <w:color w:val="33332E"/>
          <w:sz w:val="21"/>
          <w:szCs w:val="21"/>
        </w:rPr>
        <w:t xml:space="preserve">4,500-word study with frequency tables/charts</w:t>
      </w:r>
    </w:p>
    <w:p>
      <w:pPr>
        <w:pStyle w:val="ListParagraph"/>
        <w:numPr>
          <w:ilvl w:val="0"/>
          <w:numId w:val="2"/>
        </w:numPr>
        <w:spacing w:after="90" w:line="276"/>
      </w:pPr>
      <w:r>
        <w:rPr>
          <w:rFonts w:ascii="Arial" w:cs="Arial" w:eastAsia="Arial" w:hAnsi="Arial"/>
          <w:color w:val="33332E"/>
          <w:sz w:val="21"/>
          <w:szCs w:val="21"/>
        </w:rPr>
        <w:t xml:space="preserve">One-page 'reading the news about migration' guide for undergraduates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Sampling and codebook rigor</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sampling and codebook rigor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sampling and codebook rigor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sampling and codebook rigor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sampling and codebook rigor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Coding reliability and transparency</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coding reliability and transparency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coding reliability and transparency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coding reliability and transparency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coding reliability and transparency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framing-to-policy analysis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framing-to-policy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framing-to-policy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framing-to-policy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framing-to-policy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Accessibility of the student guide</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accessibility of the student guide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accessibility of the student guide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accessibility of the student guide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accessibility of the student guide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12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12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2026-07-21T19:52:49.468Z</dcterms:created>
  <dcterms:modified xsi:type="dcterms:W3CDTF">2026-07-21T19:52:49.468Z</dcterms:modified>
</cp:coreProperties>
</file>

<file path=docProps/custom.xml><?xml version="1.0" encoding="utf-8"?>
<Properties xmlns="http://schemas.openxmlformats.org/officeDocument/2006/custom-properties" xmlns:vt="http://schemas.openxmlformats.org/officeDocument/2006/docPropsVTypes"/>
</file>