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12: Media, Narratives, and Representation</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Students compare how different outlets cover the same migration story and demonstrate, with evidence, how framing works: word choice, sourcing, imagery, and what gets left out. The product is a framing analysis that could teach someone else to read migration news critically.</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Identify media bias through systematic comparison, not vibes (UG 1)</w:t>
      </w:r>
    </w:p>
    <w:p>
      <w:pPr>
        <w:pStyle w:val="ListParagraph"/>
        <w:numPr>
          <w:ilvl w:val="0"/>
          <w:numId w:val="2"/>
        </w:numPr>
        <w:spacing w:after="90" w:line="276"/>
      </w:pPr>
      <w:r>
        <w:rPr>
          <w:rFonts w:ascii="Arial" w:cs="Arial" w:eastAsia="Arial" w:hAnsi="Arial"/>
          <w:color w:val="33332E"/>
          <w:sz w:val="21"/>
          <w:szCs w:val="21"/>
        </w:rPr>
        <w:t xml:space="preserve">Analyze narratives — the frames outlets construct and repeat (UG 2)</w:t>
      </w:r>
    </w:p>
    <w:p>
      <w:pPr>
        <w:pStyle w:val="ListParagraph"/>
        <w:numPr>
          <w:ilvl w:val="0"/>
          <w:numId w:val="2"/>
        </w:numPr>
        <w:spacing w:after="90" w:line="276"/>
      </w:pPr>
      <w:r>
        <w:rPr>
          <w:rFonts w:ascii="Arial" w:cs="Arial" w:eastAsia="Arial" w:hAnsi="Arial"/>
          <w:color w:val="33332E"/>
          <w:sz w:val="21"/>
          <w:szCs w:val="21"/>
        </w:rPr>
        <w:t xml:space="preserve">Explain how coverage shapes public perception (UG 3)</w:t>
      </w:r>
    </w:p>
    <w:p>
      <w:pPr>
        <w:pStyle w:val="ListParagraph"/>
        <w:numPr>
          <w:ilvl w:val="0"/>
          <w:numId w:val="2"/>
        </w:numPr>
        <w:spacing w:after="90" w:line="276"/>
      </w:pPr>
      <w:r>
        <w:rPr>
          <w:rFonts w:ascii="Arial" w:cs="Arial" w:eastAsia="Arial" w:hAnsi="Arial"/>
          <w:color w:val="33332E"/>
          <w:sz w:val="21"/>
          <w:szCs w:val="21"/>
        </w:rPr>
        <w:t xml:space="preserve">Compare sources with a documented, repeatable method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scale up to a structured content analysis: a defined sample of 15+ pieces, a written coding scheme, frame frequency counts, and an assessment of how framing tracked a policy moment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Pick one specific migration story or event covered widely within a defined window (e.g., a border policy announcement, a rescue incident, a local resettlement story).</w:t>
      </w:r>
    </w:p>
    <w:p>
      <w:pPr>
        <w:pStyle w:val="ListParagraph"/>
        <w:numPr>
          <w:ilvl w:val="0"/>
          <w:numId w:val="3"/>
        </w:numPr>
        <w:spacing w:after="90" w:line="276"/>
      </w:pPr>
      <w:r>
        <w:rPr>
          <w:rFonts w:ascii="Arial" w:cs="Arial" w:eastAsia="Arial" w:hAnsi="Arial"/>
          <w:color w:val="33332E"/>
          <w:sz w:val="21"/>
          <w:szCs w:val="21"/>
        </w:rPr>
        <w:t xml:space="preserve">Select 4–6 pieces covering it from outlets across the spectrum — include at least one non-US or non-English outlet if possible, and one piece of ethnic/community media.</w:t>
      </w:r>
    </w:p>
    <w:p>
      <w:pPr>
        <w:pStyle w:val="ListParagraph"/>
        <w:numPr>
          <w:ilvl w:val="0"/>
          <w:numId w:val="3"/>
        </w:numPr>
        <w:spacing w:after="90" w:line="276"/>
      </w:pPr>
      <w:r>
        <w:rPr>
          <w:rFonts w:ascii="Arial" w:cs="Arial" w:eastAsia="Arial" w:hAnsi="Arial"/>
          <w:color w:val="33332E"/>
          <w:sz w:val="21"/>
          <w:szCs w:val="21"/>
        </w:rPr>
        <w:t xml:space="preserve">Build a simple comparison instrument: headline language, who is quoted (migrants? officials? advocates?), imagery described or shown, statistics used and their sourcing, what each piece omits.</w:t>
      </w:r>
    </w:p>
    <w:p>
      <w:pPr>
        <w:pStyle w:val="ListParagraph"/>
        <w:numPr>
          <w:ilvl w:val="0"/>
          <w:numId w:val="3"/>
        </w:numPr>
        <w:spacing w:after="90" w:line="276"/>
      </w:pPr>
      <w:r>
        <w:rPr>
          <w:rFonts w:ascii="Arial" w:cs="Arial" w:eastAsia="Arial" w:hAnsi="Arial"/>
          <w:color w:val="33332E"/>
          <w:sz w:val="21"/>
          <w:szCs w:val="21"/>
        </w:rPr>
        <w:t xml:space="preserve">Code each piece with the instrument; put the results in a comparison table.</w:t>
      </w:r>
    </w:p>
    <w:p>
      <w:pPr>
        <w:pStyle w:val="ListParagraph"/>
        <w:numPr>
          <w:ilvl w:val="0"/>
          <w:numId w:val="3"/>
        </w:numPr>
        <w:spacing w:after="90" w:line="276"/>
      </w:pPr>
      <w:r>
        <w:rPr>
          <w:rFonts w:ascii="Arial" w:cs="Arial" w:eastAsia="Arial" w:hAnsi="Arial"/>
          <w:color w:val="33332E"/>
          <w:sz w:val="21"/>
          <w:szCs w:val="21"/>
        </w:rPr>
        <w:t xml:space="preserve">Identify the dominant frame of each piece (threat, victim, contributor, crisis, order/control) and show the textual evidence for your label.</w:t>
      </w:r>
    </w:p>
    <w:p>
      <w:pPr>
        <w:pStyle w:val="ListParagraph"/>
        <w:numPr>
          <w:ilvl w:val="0"/>
          <w:numId w:val="3"/>
        </w:numPr>
        <w:spacing w:after="90" w:line="276"/>
      </w:pPr>
      <w:r>
        <w:rPr>
          <w:rFonts w:ascii="Arial" w:cs="Arial" w:eastAsia="Arial" w:hAnsi="Arial"/>
          <w:color w:val="33332E"/>
          <w:sz w:val="21"/>
          <w:szCs w:val="21"/>
        </w:rPr>
        <w:t xml:space="preserve">Write the analysis: what the comparison reveals, which framings correlate with which sourcing choices, and what a reader of only one outlet would never learn.</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Framing analysis, 1,500–1,800 words with the comparison table (graduate: full content analysis with codebook and counts)</w:t>
      </w:r>
    </w:p>
    <w:p>
      <w:pPr>
        <w:pStyle w:val="ListParagraph"/>
        <w:numPr>
          <w:ilvl w:val="0"/>
          <w:numId w:val="2"/>
        </w:numPr>
        <w:spacing w:after="90" w:line="276"/>
      </w:pPr>
      <w:r>
        <w:rPr>
          <w:rFonts w:ascii="Arial" w:cs="Arial" w:eastAsia="Arial" w:hAnsi="Arial"/>
          <w:color w:val="33332E"/>
          <w:sz w:val="21"/>
          <w:szCs w:val="21"/>
        </w:rPr>
        <w:t xml:space="preserve">The coded instrument for all pieces (appendix)</w:t>
      </w:r>
    </w:p>
    <w:p>
      <w:pPr>
        <w:pStyle w:val="ListParagraph"/>
        <w:numPr>
          <w:ilvl w:val="0"/>
          <w:numId w:val="2"/>
        </w:numPr>
        <w:spacing w:after="90" w:line="276"/>
      </w:pPr>
      <w:r>
        <w:rPr>
          <w:rFonts w:ascii="Arial" w:cs="Arial" w:eastAsia="Arial" w:hAnsi="Arial"/>
          <w:color w:val="33332E"/>
          <w:sz w:val="21"/>
          <w:szCs w:val="21"/>
        </w:rPr>
        <w:t xml:space="preserve">A 'how to read migration news' half-page written for a general reader</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Method: systematic, documented comparison</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method: systematic, documented comparison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method: systematic, documented comparison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method: systematic, documented comparison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method: systematic, documented comparison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Evidence for each framing claim — quotes and specifics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evidence for each framing claim — quotes and specifics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evidence for each framing claim — quotes and specifics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evidence for each framing claim — quotes and specifics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evidence for each framing claim — quotes and specifics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Insight of the analysis, including omissions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insight of the analysis, including omissions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insight of the analysis, including omissions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insight of the analysis, including omissions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insight of the analysis, including omissions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general-reader guide</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quality of the general-reader guide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quality of the general-reader guide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quality of the general-reader guide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quality of the general-reader guide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12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12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2026-07-21T19:52:49.454Z</dcterms:created>
  <dcterms:modified xsi:type="dcterms:W3CDTF">2026-07-21T19:52:49.454Z</dcterms:modified>
</cp:coreProperties>
</file>

<file path=docProps/custom.xml><?xml version="1.0" encoding="utf-8"?>
<Properties xmlns="http://schemas.openxmlformats.org/officeDocument/2006/custom-properties" xmlns:vt="http://schemas.openxmlformats.org/officeDocument/2006/docPropsVTypes"/>
</file>