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13: Cities, Communities, and Integration</w:t>
      </w:r>
    </w:p>
    <w:p>
      <w:pPr>
        <w:spacing w:after="60"/>
      </w:pPr>
      <w:r>
        <w:rPr>
          <w:rFonts w:ascii="Arial" w:cs="Arial" w:eastAsia="Arial" w:hAnsi="Arial"/>
          <w:b/>
          <w:bCs/>
          <w:color w:val="175A82"/>
          <w:sz w:val="22"/>
          <w:szCs w:val="22"/>
        </w:rPr>
        <w:t xml:space="preserve">Graduate Research Project</w:t>
      </w:r>
    </w:p>
    <w:p>
      <w:pPr>
        <w:pBdr>
          <w:bottom w:val="single" w:color="E7F2F9" w:sz="6" w:space="6"/>
        </w:pBdr>
        <w:spacing w:after="220"/>
      </w:pPr>
      <w:r>
        <w:rPr>
          <w:rFonts w:ascii="Arial" w:cs="Arial" w:eastAsia="Arial" w:hAnsi="Arial"/>
          <w:b/>
          <w:bCs/>
          <w:i/>
          <w:iCs/>
          <w:color w:val="33332E"/>
          <w:sz w:val="25"/>
          <w:szCs w:val="25"/>
        </w:rPr>
        <w:t xml:space="preserve">What Makes Integration Work? Evaluating a Model and Designing an Intervention</w:t>
      </w:r>
    </w:p>
    <w:p>
      <w:pPr>
        <w:pStyle w:val="Heading2"/>
        <w:spacing w:after="120" w:before="260"/>
      </w:pPr>
      <w:r>
        <w:rPr>
          <w:rFonts w:ascii="Arial" w:cs="Arial" w:eastAsia="Arial" w:hAnsi="Arial"/>
          <w:b/>
          <w:bCs/>
          <w:color w:val="175A82"/>
          <w:sz w:val="24"/>
          <w:szCs w:val="24"/>
        </w:rPr>
        <w:t xml:space="preserve">Overview</w:t>
      </w:r>
    </w:p>
    <w:p>
      <w:pPr>
        <w:spacing w:after="160" w:line="276"/>
      </w:pPr>
      <w:r>
        <w:rPr>
          <w:rFonts w:ascii="Arial" w:cs="Arial" w:eastAsia="Arial" w:hAnsi="Arial"/>
          <w:color w:val="33332E"/>
          <w:sz w:val="21"/>
          <w:szCs w:val="21"/>
        </w:rPr>
        <w:t xml:space="preserve">Evaluate one urban integration model (e.g., sanctuary services, municipal ID programs, community sponsorship, refugee-led organizations) against the evidence, then design a community-based intervention with a full evaluation logic model.</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Design community-based interventions (Grad 1)</w:t>
      </w:r>
    </w:p>
    <w:p>
      <w:pPr>
        <w:pStyle w:val="ListParagraph"/>
        <w:numPr>
          <w:ilvl w:val="0"/>
          <w:numId w:val="2"/>
        </w:numPr>
        <w:spacing w:after="90" w:line="276"/>
      </w:pPr>
      <w:r>
        <w:rPr>
          <w:rFonts w:ascii="Arial" w:cs="Arial" w:eastAsia="Arial" w:hAnsi="Arial"/>
          <w:color w:val="33332E"/>
          <w:sz w:val="21"/>
          <w:szCs w:val="21"/>
        </w:rPr>
        <w:t xml:space="preserve">Evaluate integration models (Grad 2)</w:t>
      </w:r>
    </w:p>
    <w:p>
      <w:pPr>
        <w:pStyle w:val="Heading2"/>
        <w:spacing w:after="120" w:before="260"/>
      </w:pPr>
      <w:r>
        <w:rPr>
          <w:rFonts w:ascii="Arial" w:cs="Arial" w:eastAsia="Arial" w:hAnsi="Arial"/>
          <w:b/>
          <w:bCs/>
          <w:color w:val="175A82"/>
          <w:sz w:val="24"/>
          <w:szCs w:val="24"/>
        </w:rPr>
        <w:t xml:space="preserve">Sample research questions</w:t>
      </w:r>
    </w:p>
    <w:p>
      <w:pPr>
        <w:pStyle w:val="ListParagraph"/>
        <w:numPr>
          <w:ilvl w:val="0"/>
          <w:numId w:val="2"/>
        </w:numPr>
        <w:spacing w:after="90" w:line="276"/>
      </w:pPr>
      <w:r>
        <w:rPr>
          <w:rFonts w:ascii="Arial" w:cs="Arial" w:eastAsia="Arial" w:hAnsi="Arial"/>
          <w:color w:val="33332E"/>
          <w:sz w:val="21"/>
          <w:szCs w:val="21"/>
        </w:rPr>
        <w:t xml:space="preserve">What does your chosen model claim to change, and what does the evidence actually show?</w:t>
      </w:r>
    </w:p>
    <w:p>
      <w:pPr>
        <w:pStyle w:val="ListParagraph"/>
        <w:numPr>
          <w:ilvl w:val="0"/>
          <w:numId w:val="2"/>
        </w:numPr>
        <w:spacing w:after="90" w:line="276"/>
      </w:pPr>
      <w:r>
        <w:rPr>
          <w:rFonts w:ascii="Arial" w:cs="Arial" w:eastAsia="Arial" w:hAnsi="Arial"/>
          <w:color w:val="33332E"/>
          <w:sz w:val="21"/>
          <w:szCs w:val="21"/>
        </w:rPr>
        <w:t xml:space="preserve">Which conditions (governance, funding, community leadership) explain where it succeeds and fails?</w:t>
      </w:r>
    </w:p>
    <w:p>
      <w:pPr>
        <w:pStyle w:val="ListParagraph"/>
        <w:numPr>
          <w:ilvl w:val="0"/>
          <w:numId w:val="2"/>
        </w:numPr>
        <w:spacing w:after="90" w:line="276"/>
      </w:pPr>
      <w:r>
        <w:rPr>
          <w:rFonts w:ascii="Arial" w:cs="Arial" w:eastAsia="Arial" w:hAnsi="Arial"/>
          <w:color w:val="33332E"/>
          <w:sz w:val="21"/>
          <w:szCs w:val="21"/>
        </w:rPr>
        <w:t xml:space="preserve">What would a locally-adapted intervention look like, and how would you evaluate it credibly?</w:t>
      </w:r>
    </w:p>
    <w:p>
      <w:pPr>
        <w:pStyle w:val="Heading2"/>
        <w:spacing w:after="120" w:before="260"/>
      </w:pPr>
      <w:r>
        <w:rPr>
          <w:rFonts w:ascii="Arial" w:cs="Arial" w:eastAsia="Arial" w:hAnsi="Arial"/>
          <w:b/>
          <w:bCs/>
          <w:color w:val="175A82"/>
          <w:sz w:val="24"/>
          <w:szCs w:val="24"/>
        </w:rPr>
        <w:t xml:space="preserve">Methods</w:t>
      </w:r>
    </w:p>
    <w:p>
      <w:pPr>
        <w:spacing w:after="160" w:line="276"/>
      </w:pPr>
      <w:r>
        <w:rPr>
          <w:rFonts w:ascii="Arial" w:cs="Arial" w:eastAsia="Arial" w:hAnsi="Arial"/>
          <w:color w:val="33332E"/>
          <w:sz w:val="21"/>
          <w:szCs w:val="21"/>
        </w:rPr>
        <w:t xml:space="preserve">Evaluation synthesis of published studies plus city-level documentary analysis; intervention design with logic model (inputs → activities → outcomes), indicators, and comparison logic. Optional key-informant interviews (IRB required).</w:t>
      </w:r>
    </w:p>
    <w:p>
      <w:pPr>
        <w:pStyle w:val="Heading2"/>
        <w:spacing w:after="120" w:before="260"/>
      </w:pPr>
      <w:r>
        <w:rPr>
          <w:rFonts w:ascii="Arial" w:cs="Arial" w:eastAsia="Arial" w:hAnsi="Arial"/>
          <w:b/>
          <w:bCs/>
          <w:color w:val="175A82"/>
          <w:sz w:val="24"/>
          <w:szCs w:val="24"/>
        </w:rPr>
        <w:t xml:space="preserve">IRB / research ethics</w:t>
      </w:r>
    </w:p>
    <w:p>
      <w:pPr>
        <w:spacing w:after="160" w:line="276"/>
      </w:pPr>
      <w:r>
        <w:rPr>
          <w:rFonts w:ascii="Arial" w:cs="Arial" w:eastAsia="Arial" w:hAnsi="Arial"/>
          <w:color w:val="33332E"/>
          <w:sz w:val="21"/>
          <w:szCs w:val="21"/>
        </w:rPr>
        <w:t xml:space="preserve">Not required for documentary design; required for interviews.</w:t>
      </w:r>
    </w:p>
    <w:p>
      <w:pPr>
        <w:pStyle w:val="Heading2"/>
        <w:spacing w:after="120" w:before="260"/>
      </w:pPr>
      <w:r>
        <w:rPr>
          <w:rFonts w:ascii="Arial" w:cs="Arial" w:eastAsia="Arial" w:hAnsi="Arial"/>
          <w:b/>
          <w:bCs/>
          <w:color w:val="175A82"/>
          <w:sz w:val="24"/>
          <w:szCs w:val="24"/>
        </w:rPr>
        <w:t xml:space="preserve">Deliverables</w:t>
      </w:r>
    </w:p>
    <w:p>
      <w:pPr>
        <w:pStyle w:val="ListParagraph"/>
        <w:numPr>
          <w:ilvl w:val="0"/>
          <w:numId w:val="2"/>
        </w:numPr>
        <w:spacing w:after="90" w:line="276"/>
      </w:pPr>
      <w:r>
        <w:rPr>
          <w:rFonts w:ascii="Arial" w:cs="Arial" w:eastAsia="Arial" w:hAnsi="Arial"/>
          <w:color w:val="33332E"/>
          <w:sz w:val="21"/>
          <w:szCs w:val="21"/>
        </w:rPr>
        <w:t xml:space="preserve">4,500-word model evaluation</w:t>
      </w:r>
    </w:p>
    <w:p>
      <w:pPr>
        <w:pStyle w:val="ListParagraph"/>
        <w:numPr>
          <w:ilvl w:val="0"/>
          <w:numId w:val="2"/>
        </w:numPr>
        <w:spacing w:after="90" w:line="276"/>
      </w:pPr>
      <w:r>
        <w:rPr>
          <w:rFonts w:ascii="Arial" w:cs="Arial" w:eastAsia="Arial" w:hAnsi="Arial"/>
          <w:color w:val="33332E"/>
          <w:sz w:val="21"/>
          <w:szCs w:val="21"/>
        </w:rPr>
        <w:t xml:space="preserve">Intervention design with logic model figure</w:t>
      </w:r>
    </w:p>
    <w:p>
      <w:pPr>
        <w:pStyle w:val="ListParagraph"/>
        <w:numPr>
          <w:ilvl w:val="0"/>
          <w:numId w:val="2"/>
        </w:numPr>
        <w:spacing w:after="90" w:line="276"/>
      </w:pPr>
      <w:r>
        <w:rPr>
          <w:rFonts w:ascii="Arial" w:cs="Arial" w:eastAsia="Arial" w:hAnsi="Arial"/>
          <w:color w:val="33332E"/>
          <w:sz w:val="21"/>
          <w:szCs w:val="21"/>
        </w:rPr>
        <w:t xml:space="preserve">Evaluation plan (indicators, data sources, timeline)</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Honesty of the evidence assessment</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exemplary: honesty of the evidence assessment is met with high-quality, correctly cited sources for every substantive claim; terms, facts, and frameworks are used precisely.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solid: honesty of the evidence assessment is met for nearly all claims, with only minor sourcing gaps or imprecisions that do not affect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uneven: honesty of the evidence assessment is partly met — some claims lack support, sources are thin or misread, or terms are used loosely in ways that weaken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deficient: honesty of the evidence assessment is not met; key claims are unsupported or wrong, and errors undermine the work's conclusions.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Fit of intervention to local context</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excellent: fit of intervention to local context is fully addressed — costs, constraints, politics, and failure modes are named honestly and the proposal remains workable anyway.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good: fit of intervention to local context is addressed for the major factors, with minor blind spots that would not sink the proposal.</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limited: fit of intervention to local context is addressed superficially — key constraints or failure modes are ignored, making the proposal fragile.</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missing: fit of intervention to local context is not addressed; the proposal ignores obvious constraints and would not survive contact with reality.</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Rigor of the logic model and evaluation plan</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rigorous and transparent: rigor of the logic model and evaluation plan is fully documented, choices are justified, limitations are stated, and another student could replicate the work from what is written.</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sound: rigor of the logic model and evaluation plan is documented and mostly justified, with limitations acknowledged; small gaps would not change the findings.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partial: rigor of the logic model and evaluation plan is described but under-documented or inconsistently applied, leaving findings plausible but not checkable.</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absent or unsound: rigor of the logic model and evaluation plan is missing, undocumented, or applied so loosely that the findings cannot be trusted.</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Clarity</w:t>
            </w:r>
          </w:p>
          <w:p>
            <w:pPr>
              <w:spacing w:after="40" w:line="250"/>
            </w:pPr>
            <w:r>
              <w:rPr>
                <w:rFonts w:ascii="Arial" w:cs="Arial" w:eastAsia="Arial" w:hAnsi="Arial"/>
                <w:b/>
                <w:bCs/>
                <w:color w:val="175A82"/>
                <w:sz w:val="18"/>
                <w:szCs w:val="18"/>
              </w:rPr>
              <w:t xml:space="preserve">15%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publication-ready: clarity is achieved with precise, well-organized prose, correct citation, and figures or formats that make the argument easier to grasp.</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clear and professional: clarity is achieved with minor lapses in polish, organization, or citation that never obscure meaning.</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understandable but rough: clarity is only partly achieved — disorganization, citation errors, or unclear figures make the reader work to follow the argument.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impedes the work: clarity is not achieved; errors, disorganization, or missing citations obscure the substance.</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13 · Graduate Research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13 · Graduate Research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2026-07-21T19:52:49.488Z</dcterms:created>
  <dcterms:modified xsi:type="dcterms:W3CDTF">2026-07-21T19:52:49.488Z</dcterms:modified>
</cp:coreProperties>
</file>

<file path=docProps/custom.xml><?xml version="1.0" encoding="utf-8"?>
<Properties xmlns="http://schemas.openxmlformats.org/officeDocument/2006/custom-properties" xmlns:vt="http://schemas.openxmlformats.org/officeDocument/2006/docPropsVTypes"/>
</file>