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13: Cities, Communities, and Integration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Mapping Welcome: A Community Asset Map for Newcomer Integration</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Partner with a settlement house, city newcomer office, or integration program to build a neighborhood asset map of services and community resources for newly arrived residents — and identify one gap worth acting on.</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integration challenges in a real neighborhood (UG 1)</w:t>
      </w:r>
    </w:p>
    <w:p>
      <w:pPr>
        <w:pStyle w:val="ListParagraph"/>
        <w:numPr>
          <w:ilvl w:val="0"/>
          <w:numId w:val="2"/>
        </w:numPr>
        <w:spacing w:after="90" w:line="276"/>
      </w:pPr>
      <w:r>
        <w:rPr>
          <w:rFonts w:ascii="Arial" w:cs="Arial" w:eastAsia="Arial" w:hAnsi="Arial"/>
          <w:color w:val="33332E"/>
          <w:sz w:val="21"/>
          <w:szCs w:val="21"/>
        </w:rPr>
        <w:t xml:space="preserve">Identify support systems and services (UG 2)</w:t>
      </w:r>
    </w:p>
    <w:p>
      <w:pPr>
        <w:pStyle w:val="ListParagraph"/>
        <w:numPr>
          <w:ilvl w:val="0"/>
          <w:numId w:val="2"/>
        </w:numPr>
        <w:spacing w:after="90" w:line="276"/>
      </w:pPr>
      <w:r>
        <w:rPr>
          <w:rFonts w:ascii="Arial" w:cs="Arial" w:eastAsia="Arial" w:hAnsi="Arial"/>
          <w:color w:val="33332E"/>
          <w:sz w:val="21"/>
          <w:szCs w:val="21"/>
        </w:rPr>
        <w:t xml:space="preserve">Explain the role of communities and community-led solutions (UG 3)</w:t>
      </w:r>
    </w:p>
    <w:p>
      <w:pPr>
        <w:pStyle w:val="ListParagraph"/>
        <w:numPr>
          <w:ilvl w:val="0"/>
          <w:numId w:val="2"/>
        </w:numPr>
        <w:spacing w:after="90" w:line="276"/>
      </w:pPr>
      <w:r>
        <w:rPr>
          <w:rFonts w:ascii="Arial" w:cs="Arial" w:eastAsia="Arial" w:hAnsi="Arial"/>
          <w:color w:val="33332E"/>
          <w:sz w:val="21"/>
          <w:szCs w:val="21"/>
        </w:rPr>
        <w:t xml:space="preserve">Recognize policy impacts at street level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Settlement houses and integration service providers</w:t>
      </w:r>
    </w:p>
    <w:p>
      <w:pPr>
        <w:pStyle w:val="ListParagraph"/>
        <w:numPr>
          <w:ilvl w:val="0"/>
          <w:numId w:val="2"/>
        </w:numPr>
        <w:spacing w:after="90" w:line="276"/>
      </w:pPr>
      <w:r>
        <w:rPr>
          <w:rFonts w:ascii="Arial" w:cs="Arial" w:eastAsia="Arial" w:hAnsi="Arial"/>
          <w:color w:val="33332E"/>
          <w:sz w:val="21"/>
          <w:szCs w:val="21"/>
        </w:rPr>
        <w:t xml:space="preserve">City/county offices of new Americans</w:t>
      </w:r>
    </w:p>
    <w:p>
      <w:pPr>
        <w:pStyle w:val="ListParagraph"/>
        <w:numPr>
          <w:ilvl w:val="0"/>
          <w:numId w:val="2"/>
        </w:numPr>
        <w:spacing w:after="90" w:line="276"/>
      </w:pPr>
      <w:r>
        <w:rPr>
          <w:rFonts w:ascii="Arial" w:cs="Arial" w:eastAsia="Arial" w:hAnsi="Arial"/>
          <w:color w:val="33332E"/>
          <w:sz w:val="21"/>
          <w:szCs w:val="21"/>
        </w:rPr>
        <w:t xml:space="preserve">Refugee-led and immigrant-led community organizations</w:t>
      </w:r>
    </w:p>
    <w:p>
      <w:pPr>
        <w:pStyle w:val="ListParagraph"/>
        <w:numPr>
          <w:ilvl w:val="0"/>
          <w:numId w:val="2"/>
        </w:numPr>
        <w:spacing w:after="90" w:line="276"/>
      </w:pPr>
      <w:r>
        <w:rPr>
          <w:rFonts w:ascii="Arial" w:cs="Arial" w:eastAsia="Arial" w:hAnsi="Arial"/>
          <w:color w:val="33332E"/>
          <w:sz w:val="21"/>
          <w:szCs w:val="21"/>
        </w:rPr>
        <w:t xml:space="preserve">Housing and tenant support organizations in arrival neighborhoods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Scope the map with the partner: which neighborhood, which newcomer populations, which service domains (housing, ESL, health, legal, childcare, faith, transit).</w:t>
      </w:r>
    </w:p>
    <w:p>
      <w:pPr>
        <w:pStyle w:val="ListParagraph"/>
        <w:numPr>
          <w:ilvl w:val="0"/>
          <w:numId w:val="3"/>
        </w:numPr>
        <w:spacing w:after="90" w:line="276"/>
      </w:pPr>
      <w:r>
        <w:rPr>
          <w:rFonts w:ascii="Arial" w:cs="Arial" w:eastAsia="Arial" w:hAnsi="Arial"/>
          <w:color w:val="33332E"/>
          <w:sz w:val="21"/>
          <w:szCs w:val="21"/>
        </w:rPr>
        <w:t xml:space="preserve">Field-verify: visit or contact services; record languages available, eligibility, hours, and access barriers.</w:t>
      </w:r>
    </w:p>
    <w:p>
      <w:pPr>
        <w:pStyle w:val="ListParagraph"/>
        <w:numPr>
          <w:ilvl w:val="0"/>
          <w:numId w:val="3"/>
        </w:numPr>
        <w:spacing w:after="90" w:line="276"/>
      </w:pPr>
      <w:r>
        <w:rPr>
          <w:rFonts w:ascii="Arial" w:cs="Arial" w:eastAsia="Arial" w:hAnsi="Arial"/>
          <w:color w:val="33332E"/>
          <w:sz w:val="21"/>
          <w:szCs w:val="21"/>
        </w:rPr>
        <w:t xml:space="preserve">Include community-led assets — mutual aid, congregations, informal networks — not just formal agencies.</w:t>
      </w:r>
    </w:p>
    <w:p>
      <w:pPr>
        <w:pStyle w:val="ListParagraph"/>
        <w:numPr>
          <w:ilvl w:val="0"/>
          <w:numId w:val="3"/>
        </w:numPr>
        <w:spacing w:after="90" w:line="276"/>
      </w:pPr>
      <w:r>
        <w:rPr>
          <w:rFonts w:ascii="Arial" w:cs="Arial" w:eastAsia="Arial" w:hAnsi="Arial"/>
          <w:color w:val="33332E"/>
          <w:sz w:val="21"/>
          <w:szCs w:val="21"/>
        </w:rPr>
        <w:t xml:space="preserve">Build the map in the partner's preferred format (printable, digital, multilingual).</w:t>
      </w:r>
    </w:p>
    <w:p>
      <w:pPr>
        <w:pStyle w:val="ListParagraph"/>
        <w:numPr>
          <w:ilvl w:val="0"/>
          <w:numId w:val="3"/>
        </w:numPr>
        <w:spacing w:after="90" w:line="276"/>
      </w:pPr>
      <w:r>
        <w:rPr>
          <w:rFonts w:ascii="Arial" w:cs="Arial" w:eastAsia="Arial" w:hAnsi="Arial"/>
          <w:color w:val="33332E"/>
          <w:sz w:val="21"/>
          <w:szCs w:val="21"/>
        </w:rPr>
        <w:t xml:space="preserve">Identify one significant service gap and draft a short intervention idea with the partner's input.</w:t>
      </w:r>
    </w:p>
    <w:p>
      <w:pPr>
        <w:pStyle w:val="ListParagraph"/>
        <w:numPr>
          <w:ilvl w:val="0"/>
          <w:numId w:val="3"/>
        </w:numPr>
        <w:spacing w:after="90" w:line="276"/>
      </w:pPr>
      <w:r>
        <w:rPr>
          <w:rFonts w:ascii="Arial" w:cs="Arial" w:eastAsia="Arial" w:hAnsi="Arial"/>
          <w:color w:val="33332E"/>
          <w:sz w:val="21"/>
          <w:szCs w:val="21"/>
        </w:rPr>
        <w:t xml:space="preserve">Present the map and gap analysis to partner staff.</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Community asset map (partner keeps, partner format)</w:t>
      </w:r>
    </w:p>
    <w:p>
      <w:pPr>
        <w:pStyle w:val="ListParagraph"/>
        <w:numPr>
          <w:ilvl w:val="0"/>
          <w:numId w:val="2"/>
        </w:numPr>
        <w:spacing w:after="90" w:line="276"/>
      </w:pPr>
      <w:r>
        <w:rPr>
          <w:rFonts w:ascii="Arial" w:cs="Arial" w:eastAsia="Arial" w:hAnsi="Arial"/>
          <w:color w:val="33332E"/>
          <w:sz w:val="21"/>
          <w:szCs w:val="21"/>
        </w:rPr>
        <w:t xml:space="preserve">Gap analysis and intervention brief (2 pages)</w:t>
      </w:r>
    </w:p>
    <w:p>
      <w:pPr>
        <w:pStyle w:val="ListParagraph"/>
        <w:numPr>
          <w:ilvl w:val="0"/>
          <w:numId w:val="2"/>
        </w:numPr>
        <w:spacing w:after="90" w:line="276"/>
      </w:pPr>
      <w:r>
        <w:rPr>
          <w:rFonts w:ascii="Arial" w:cs="Arial" w:eastAsia="Arial" w:hAnsi="Arial"/>
          <w:color w:val="33332E"/>
          <w:sz w:val="21"/>
          <w:szCs w:val="21"/>
        </w:rPr>
        <w:t xml:space="preserve">Reflection on community-led vs. top-down integration (2 pages)</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15–18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Verify information before publishing; never list informal supports that communities prefer to keep unlisted.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Completeness and field verification of the map</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completeness and field verification of the map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completeness and field verification of the map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completeness and field verification of the map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completeness and field verification of the map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Inclusion of community-led assets</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genuinely shared: inclusion of community-led assets is fully realized — partner and community voices shaped key decisions, their priorities are visible in the result, and their contribution is credited.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real: inclusion of community-led assets is achieved — the partner reviewed and influenced the work, though some decisions stayed one-sided.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thin: inclusion of community-led assets is claimed more than practiced; the partner was consulted late or superficially, and the result reflects the student's assumptions.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absent: inclusion of community-led assets did not occur; the work was done about or for the community rather than with it.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gap analysis and intervention idea</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gap analysis and intervention idea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gap analysis and intervention idea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gap analysis and intervention idea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gap analysis and intervention idea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Reflection quality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reflection quality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reflection quality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reflection quality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reflection quality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2026-07-21T19:52:49.480Z</dcterms:created>
  <dcterms:modified xsi:type="dcterms:W3CDTF">2026-07-21T19:52:49.480Z</dcterms:modified>
</cp:coreProperties>
</file>

<file path=docProps/custom.xml><?xml version="1.0" encoding="utf-8"?>
<Properties xmlns="http://schemas.openxmlformats.org/officeDocument/2006/custom-properties" xmlns:vt="http://schemas.openxmlformats.org/officeDocument/2006/docPropsVTypes"/>
</file>