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13: Cities, Communities, and Integration</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Teams design a realistic community-based intervention that improves integration in a specific city or neighborhood — housing, education, services, or belonging. The emphasis is on community-led design: interventions that work with existing community assets rather than parachuting in.</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Explain the integration challenge in a specific place with evidence (UG 1)</w:t>
      </w:r>
    </w:p>
    <w:p>
      <w:pPr>
        <w:pStyle w:val="ListParagraph"/>
        <w:numPr>
          <w:ilvl w:val="0"/>
          <w:numId w:val="2"/>
        </w:numPr>
        <w:spacing w:after="90" w:line="276"/>
      </w:pPr>
      <w:r>
        <w:rPr>
          <w:rFonts w:ascii="Arial" w:cs="Arial" w:eastAsia="Arial" w:hAnsi="Arial"/>
          <w:color w:val="33332E"/>
          <w:sz w:val="21"/>
          <w:szCs w:val="21"/>
        </w:rPr>
        <w:t xml:space="preserve">Identify the support systems already operating there (UG 2)</w:t>
      </w:r>
    </w:p>
    <w:p>
      <w:pPr>
        <w:pStyle w:val="ListParagraph"/>
        <w:numPr>
          <w:ilvl w:val="0"/>
          <w:numId w:val="2"/>
        </w:numPr>
        <w:spacing w:after="90" w:line="276"/>
      </w:pPr>
      <w:r>
        <w:rPr>
          <w:rFonts w:ascii="Arial" w:cs="Arial" w:eastAsia="Arial" w:hAnsi="Arial"/>
          <w:color w:val="33332E"/>
          <w:sz w:val="21"/>
          <w:szCs w:val="21"/>
        </w:rPr>
        <w:t xml:space="preserve">Describe the role of communities — including refugee-led organizations — in the design (UG 3)</w:t>
      </w:r>
    </w:p>
    <w:p>
      <w:pPr>
        <w:pStyle w:val="ListParagraph"/>
        <w:numPr>
          <w:ilvl w:val="0"/>
          <w:numId w:val="2"/>
        </w:numPr>
        <w:spacing w:after="90" w:line="276"/>
      </w:pPr>
      <w:r>
        <w:rPr>
          <w:rFonts w:ascii="Arial" w:cs="Arial" w:eastAsia="Arial" w:hAnsi="Arial"/>
          <w:color w:val="33332E"/>
          <w:sz w:val="21"/>
          <w:szCs w:val="21"/>
        </w:rPr>
        <w:t xml:space="preserve">Recognize how policy constraints shape what is possible locally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evaluate an existing integration model from another city as a design input (what does the evidence say about it?), and add a logic model with indicators and an evaluation plan to the intervention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Choose a real place — ideally your own city or one a team member knows — and one integration domain: housing access, school transition, service navigation, civic belonging, economic entry.</w:t>
      </w:r>
    </w:p>
    <w:p>
      <w:pPr>
        <w:pStyle w:val="ListParagraph"/>
        <w:numPr>
          <w:ilvl w:val="0"/>
          <w:numId w:val="3"/>
        </w:numPr>
        <w:spacing w:after="90" w:line="276"/>
      </w:pPr>
      <w:r>
        <w:rPr>
          <w:rFonts w:ascii="Arial" w:cs="Arial" w:eastAsia="Arial" w:hAnsi="Arial"/>
          <w:color w:val="33332E"/>
          <w:sz w:val="21"/>
          <w:szCs w:val="21"/>
        </w:rPr>
        <w:t xml:space="preserve">Map what already exists: formal services and community-led assets (mutual aid, congregations, diaspora associations). Build on the strongest asset you find.</w:t>
      </w:r>
    </w:p>
    <w:p>
      <w:pPr>
        <w:pStyle w:val="ListParagraph"/>
        <w:numPr>
          <w:ilvl w:val="0"/>
          <w:numId w:val="3"/>
        </w:numPr>
        <w:spacing w:after="90" w:line="276"/>
      </w:pPr>
      <w:r>
        <w:rPr>
          <w:rFonts w:ascii="Arial" w:cs="Arial" w:eastAsia="Arial" w:hAnsi="Arial"/>
          <w:color w:val="33332E"/>
          <w:sz w:val="21"/>
          <w:szCs w:val="21"/>
        </w:rPr>
        <w:t xml:space="preserve">Define the gap precisely: who falls through, at what moment, and why — evidence from local reporting, service data, or (where feasible) conversation with a local organization.</w:t>
      </w:r>
    </w:p>
    <w:p>
      <w:pPr>
        <w:pStyle w:val="ListParagraph"/>
        <w:numPr>
          <w:ilvl w:val="0"/>
          <w:numId w:val="3"/>
        </w:numPr>
        <w:spacing w:after="90" w:line="276"/>
      </w:pPr>
      <w:r>
        <w:rPr>
          <w:rFonts w:ascii="Arial" w:cs="Arial" w:eastAsia="Arial" w:hAnsi="Arial"/>
          <w:color w:val="33332E"/>
          <w:sz w:val="21"/>
          <w:szCs w:val="21"/>
        </w:rPr>
        <w:t xml:space="preserve">Design the intervention: what it does, who leads it (community role must be genuine, not decorative), what it costs roughly, and what policy constraints it must live within.</w:t>
      </w:r>
    </w:p>
    <w:p>
      <w:pPr>
        <w:pStyle w:val="ListParagraph"/>
        <w:numPr>
          <w:ilvl w:val="0"/>
          <w:numId w:val="3"/>
        </w:numPr>
        <w:spacing w:after="90" w:line="276"/>
      </w:pPr>
      <w:r>
        <w:rPr>
          <w:rFonts w:ascii="Arial" w:cs="Arial" w:eastAsia="Arial" w:hAnsi="Arial"/>
          <w:color w:val="33332E"/>
          <w:sz w:val="21"/>
          <w:szCs w:val="21"/>
        </w:rPr>
        <w:t xml:space="preserve">Anticipate failure: name the two most likely ways this design fails and what you would watch for.</w:t>
      </w:r>
    </w:p>
    <w:p>
      <w:pPr>
        <w:pStyle w:val="ListParagraph"/>
        <w:numPr>
          <w:ilvl w:val="0"/>
          <w:numId w:val="3"/>
        </w:numPr>
        <w:spacing w:after="90" w:line="276"/>
      </w:pPr>
      <w:r>
        <w:rPr>
          <w:rFonts w:ascii="Arial" w:cs="Arial" w:eastAsia="Arial" w:hAnsi="Arial"/>
          <w:color w:val="33332E"/>
          <w:sz w:val="21"/>
          <w:szCs w:val="21"/>
        </w:rPr>
        <w:t xml:space="preserve">Present as a team to the class; submit the written design individually or as a team per instructor's direction.</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Intervention design, 2,000–2,500 words with a one-page visual summary (graduate adds model evaluation and logic model)</w:t>
      </w:r>
    </w:p>
    <w:p>
      <w:pPr>
        <w:pStyle w:val="ListParagraph"/>
        <w:numPr>
          <w:ilvl w:val="0"/>
          <w:numId w:val="2"/>
        </w:numPr>
        <w:spacing w:after="90" w:line="276"/>
      </w:pPr>
      <w:r>
        <w:rPr>
          <w:rFonts w:ascii="Arial" w:cs="Arial" w:eastAsia="Arial" w:hAnsi="Arial"/>
          <w:color w:val="33332E"/>
          <w:sz w:val="21"/>
          <w:szCs w:val="21"/>
        </w:rPr>
        <w:t xml:space="preserve">Community asset map for the chosen place</w:t>
      </w:r>
    </w:p>
    <w:p>
      <w:pPr>
        <w:pStyle w:val="ListParagraph"/>
        <w:numPr>
          <w:ilvl w:val="0"/>
          <w:numId w:val="2"/>
        </w:numPr>
        <w:spacing w:after="90" w:line="276"/>
      </w:pPr>
      <w:r>
        <w:rPr>
          <w:rFonts w:ascii="Arial" w:cs="Arial" w:eastAsia="Arial" w:hAnsi="Arial"/>
          <w:color w:val="33332E"/>
          <w:sz w:val="21"/>
          <w:szCs w:val="21"/>
        </w:rPr>
        <w:t xml:space="preserve">Presentation materials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Specificity of the local gap analysis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specificity of the local gap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specificity of the local gap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specificity of the local gap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specificity of the local gap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Genuine community-led design — assets built on, leadership placed locally</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genuinely shared: genuine community-led design — assets built on, leadership placed locally is fully realized — partner and community voices shaped key decisions, their priorities are visible in the result, and their contribution is credited.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real: genuine community-led design — assets built on, leadership placed locally is achieved — the partner reviewed and influenced the work, though some decisions stayed one-sided.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thin: genuine community-led design — assets built on, leadership placed locally is claimed more than practiced; the partner was consulted late or superficially, and the result reflects the student's assumptions.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Collaboration is absent: genuine community-led design — assets built on, leadership placed locally did not occur; the work was done about or for the community rather than with it.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Feasibility: costs, constraints, failure modes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feasibility: costs, constraints, failure modes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feasibility: costs, constraints, failure modes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feasibility: costs, constraints, failure modes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feasibility: costs, constraints, failure modes is not addressed; the proposal ignores obvious constraints and would not survive contact with reality.</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Presentation and written clarity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presentation and written clarity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presentation and written clarity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presentation and written clarity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presentation and written clarity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13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13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2026-07-21T19:52:49.474Z</dcterms:created>
  <dcterms:modified xsi:type="dcterms:W3CDTF">2026-07-21T19:52:49.474Z</dcterms:modified>
</cp:coreProperties>
</file>

<file path=docProps/custom.xml><?xml version="1.0" encoding="utf-8"?>
<Properties xmlns="http://schemas.openxmlformats.org/officeDocument/2006/custom-properties" xmlns:vt="http://schemas.openxmlformats.org/officeDocument/2006/docPropsVTypes"/>
</file>