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14: Solutions, Governance, and the Future</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A Multi-Level Migration Solution: Comprehensive Policy Design</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The graduate capstone: design a comprehensive solution to one migration challenge that integrates local, national, and international levels — engaging the Global Compact framework — with implementation and evaluation plans.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Design comprehensive migration solutions (Grad 1)</w:t>
      </w:r>
    </w:p>
    <w:p>
      <w:pPr>
        <w:pStyle w:val="ListParagraph"/>
        <w:numPr>
          <w:ilvl w:val="0"/>
          <w:numId w:val="2"/>
        </w:numPr>
        <w:spacing w:after="90" w:line="276"/>
      </w:pPr>
      <w:r>
        <w:rPr>
          <w:rFonts w:ascii="Arial" w:cs="Arial" w:eastAsia="Arial" w:hAnsi="Arial"/>
          <w:color w:val="33332E"/>
          <w:sz w:val="21"/>
          <w:szCs w:val="21"/>
        </w:rPr>
        <w:t xml:space="preserve">Integrate multi-level approaches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What is the precise problem, at what scale, affecting whom — and what do current governance instruments already provide?</w:t>
      </w:r>
    </w:p>
    <w:p>
      <w:pPr>
        <w:pStyle w:val="ListParagraph"/>
        <w:numPr>
          <w:ilvl w:val="0"/>
          <w:numId w:val="2"/>
        </w:numPr>
        <w:spacing w:after="90" w:line="276"/>
      </w:pPr>
      <w:r>
        <w:rPr>
          <w:rFonts w:ascii="Arial" w:cs="Arial" w:eastAsia="Arial" w:hAnsi="Arial"/>
          <w:color w:val="33332E"/>
          <w:sz w:val="21"/>
          <w:szCs w:val="21"/>
        </w:rPr>
        <w:t xml:space="preserve">How do your local, national, and international components reinforce each other rather than merely coexist?</w:t>
      </w:r>
    </w:p>
    <w:p>
      <w:pPr>
        <w:pStyle w:val="ListParagraph"/>
        <w:numPr>
          <w:ilvl w:val="0"/>
          <w:numId w:val="2"/>
        </w:numPr>
        <w:spacing w:after="90" w:line="276"/>
      </w:pPr>
      <w:r>
        <w:rPr>
          <w:rFonts w:ascii="Arial" w:cs="Arial" w:eastAsia="Arial" w:hAnsi="Arial"/>
          <w:color w:val="33332E"/>
          <w:sz w:val="21"/>
          <w:szCs w:val="21"/>
        </w:rPr>
        <w:t xml:space="preserve">What are the political-economy obstacles, and how does the design survive them?</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Integrative policy design drawing on the full course: driver analysis (M4), data (M2), legal frameworks (M9), economics (M10), integration evidence (M13), and governance instruments (Global Compact for Migration, GCR). Includes implementation timeline, cost logic, risk register, and evaluation framework.</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design study.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6,000–8,000-word policy design paper</w:t>
      </w:r>
    </w:p>
    <w:p>
      <w:pPr>
        <w:pStyle w:val="ListParagraph"/>
        <w:numPr>
          <w:ilvl w:val="0"/>
          <w:numId w:val="2"/>
        </w:numPr>
        <w:spacing w:after="90" w:line="276"/>
      </w:pPr>
      <w:r>
        <w:rPr>
          <w:rFonts w:ascii="Arial" w:cs="Arial" w:eastAsia="Arial" w:hAnsi="Arial"/>
          <w:color w:val="33332E"/>
          <w:sz w:val="21"/>
          <w:szCs w:val="21"/>
        </w:rPr>
        <w:t xml:space="preserve">Implementation and evaluation annex</w:t>
      </w:r>
    </w:p>
    <w:p>
      <w:pPr>
        <w:pStyle w:val="ListParagraph"/>
        <w:numPr>
          <w:ilvl w:val="0"/>
          <w:numId w:val="2"/>
        </w:numPr>
        <w:spacing w:after="90" w:line="276"/>
      </w:pPr>
      <w:r>
        <w:rPr>
          <w:rFonts w:ascii="Arial" w:cs="Arial" w:eastAsia="Arial" w:hAnsi="Arial"/>
          <w:color w:val="33332E"/>
          <w:sz w:val="21"/>
          <w:szCs w:val="21"/>
        </w:rPr>
        <w:t xml:space="preserve">Conference-style 20-minute defense presentation</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Problem definition and evidence base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problem definition and evidence base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problem definition and evidence base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problem definition and evidence base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problem definition and evidence base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True multi-level integration — not three separate plans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true multi-level integration — not three separate plans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true multi-level integration — not three separate plans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true multi-level integration — not three separate plans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true multi-level integration — not three separate plans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Implementation realism, including politics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excellent: implementation realism, including politics is fully addressed — costs, constraints, politics, and failure modes are named honestly and the proposal remains workable anyway.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good: implementation realism, including politics is addressed for the major factors, with minor blind spots that would not sink the proposal.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limited: implementation realism, including politics is addressed superficially — key constraints or failure modes are ignored, making the proposal fragile.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Design judgment is missing: implementation realism, including politics is not addressed; the proposal ignores obvious constraints and would not survive contact with reality.</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Defense quality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under questioning is outstanding: defense quality shows command of the material, direct engagement with hard questions, and revision that visibly improved the work.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solid: defense quality shows good command and reasonable answers to challenges, with revision addressing the main feedback.</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shaky: defense quality shows incomplete command — questions deflected or answered vaguely, revision cosmetic.</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Performance is inadequate: defense quality shows the student could not explain or defend their own work, and feedback was not incorporated.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14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2026-07-21T19:52:49.503Z</dcterms:created>
  <dcterms:modified xsi:type="dcterms:W3CDTF">2026-07-21T19:52:49.503Z</dcterms:modified>
</cp:coreProperties>
</file>

<file path=docProps/custom.xml><?xml version="1.0" encoding="utf-8"?>
<Properties xmlns="http://schemas.openxmlformats.org/officeDocument/2006/custom-properties" xmlns:vt="http://schemas.openxmlformats.org/officeDocument/2006/docPropsVTypes"/>
</file>