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14: Solutions, Governance, and the Future</w:t>
      </w:r>
    </w:p>
    <w:p>
      <w:pPr>
        <w:spacing w:after="60"/>
      </w:pPr>
      <w:r>
        <w:rPr>
          <w:rFonts w:ascii="Arial" w:cs="Arial" w:eastAsia="Arial" w:hAnsi="Arial"/>
          <w:b/>
          <w:bCs/>
          <w:color w:val="175A82"/>
          <w:sz w:val="22"/>
          <w:szCs w:val="22"/>
        </w:rPr>
        <w:t xml:space="preserve">Service Learning Project</w:t>
      </w:r>
    </w:p>
    <w:p>
      <w:pPr>
        <w:pBdr>
          <w:bottom w:val="single" w:color="E7F2F9" w:sz="6" w:space="6"/>
        </w:pBdr>
        <w:spacing w:after="220"/>
      </w:pPr>
      <w:r>
        <w:rPr>
          <w:rFonts w:ascii="Arial" w:cs="Arial" w:eastAsia="Arial" w:hAnsi="Arial"/>
          <w:b/>
          <w:bCs/>
          <w:i/>
          <w:iCs/>
          <w:color w:val="33332E"/>
          <w:sz w:val="25"/>
          <w:szCs w:val="25"/>
        </w:rPr>
        <w:t xml:space="preserve">From Classroom to Council: Presenting Migration Solutions to Real Stakeholders</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The capstone service project: refine a policy, program, or intervention proposal from the course and present it to actual stakeholders — a community coalition, campus leadership, or local government forum.</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Summarize key solutions for a public audience (UG 1)</w:t>
      </w:r>
    </w:p>
    <w:p>
      <w:pPr>
        <w:pStyle w:val="ListParagraph"/>
        <w:numPr>
          <w:ilvl w:val="0"/>
          <w:numId w:val="2"/>
        </w:numPr>
        <w:spacing w:after="90" w:line="276"/>
      </w:pPr>
      <w:r>
        <w:rPr>
          <w:rFonts w:ascii="Arial" w:cs="Arial" w:eastAsia="Arial" w:hAnsi="Arial"/>
          <w:color w:val="33332E"/>
          <w:sz w:val="21"/>
          <w:szCs w:val="21"/>
        </w:rPr>
        <w:t xml:space="preserve">Identify stakeholders and their interests (UG 2)</w:t>
      </w:r>
    </w:p>
    <w:p>
      <w:pPr>
        <w:pStyle w:val="ListParagraph"/>
        <w:numPr>
          <w:ilvl w:val="0"/>
          <w:numId w:val="2"/>
        </w:numPr>
        <w:spacing w:after="90" w:line="276"/>
      </w:pPr>
      <w:r>
        <w:rPr>
          <w:rFonts w:ascii="Arial" w:cs="Arial" w:eastAsia="Arial" w:hAnsi="Arial"/>
          <w:color w:val="33332E"/>
          <w:sz w:val="21"/>
          <w:szCs w:val="21"/>
        </w:rPr>
        <w:t xml:space="preserve">Explain governance approaches at the right level (UG 3)</w:t>
      </w:r>
    </w:p>
    <w:p>
      <w:pPr>
        <w:pStyle w:val="ListParagraph"/>
        <w:numPr>
          <w:ilvl w:val="0"/>
          <w:numId w:val="2"/>
        </w:numPr>
        <w:spacing w:after="90" w:line="276"/>
      </w:pPr>
      <w:r>
        <w:rPr>
          <w:rFonts w:ascii="Arial" w:cs="Arial" w:eastAsia="Arial" w:hAnsi="Arial"/>
          <w:color w:val="33332E"/>
          <w:sz w:val="21"/>
          <w:szCs w:val="21"/>
        </w:rPr>
        <w:t xml:space="preserve">Propose interventions and defend them (UG 4)</w:t>
      </w:r>
    </w:p>
    <w:p>
      <w:pPr>
        <w:pStyle w:val="Heading2"/>
        <w:spacing w:after="120" w:before="260"/>
      </w:pPr>
      <w:r>
        <w:rPr>
          <w:rFonts w:ascii="Arial" w:cs="Arial" w:eastAsia="Arial" w:hAnsi="Arial"/>
          <w:b/>
          <w:bCs/>
          <w:color w:val="175A82"/>
          <w:sz w:val="24"/>
          <w:szCs w:val="24"/>
        </w:rPr>
        <w:t xml:space="preserve">Suggested community partners</w:t>
      </w:r>
    </w:p>
    <w:p>
      <w:pPr>
        <w:pStyle w:val="ListParagraph"/>
        <w:numPr>
          <w:ilvl w:val="0"/>
          <w:numId w:val="2"/>
        </w:numPr>
        <w:spacing w:after="90" w:line="276"/>
      </w:pPr>
      <w:r>
        <w:rPr>
          <w:rFonts w:ascii="Arial" w:cs="Arial" w:eastAsia="Arial" w:hAnsi="Arial"/>
          <w:color w:val="33332E"/>
          <w:sz w:val="21"/>
          <w:szCs w:val="21"/>
        </w:rPr>
        <w:t xml:space="preserve">NGO coalitions and refugee advocacy networks</w:t>
      </w:r>
    </w:p>
    <w:p>
      <w:pPr>
        <w:pStyle w:val="ListParagraph"/>
        <w:numPr>
          <w:ilvl w:val="0"/>
          <w:numId w:val="2"/>
        </w:numPr>
        <w:spacing w:after="90" w:line="276"/>
      </w:pPr>
      <w:r>
        <w:rPr>
          <w:rFonts w:ascii="Arial" w:cs="Arial" w:eastAsia="Arial" w:hAnsi="Arial"/>
          <w:color w:val="33332E"/>
          <w:sz w:val="21"/>
          <w:szCs w:val="21"/>
        </w:rPr>
        <w:t xml:space="preserve">City council members or offices of new Americans (public comment, briefings)</w:t>
      </w:r>
    </w:p>
    <w:p>
      <w:pPr>
        <w:pStyle w:val="ListParagraph"/>
        <w:numPr>
          <w:ilvl w:val="0"/>
          <w:numId w:val="2"/>
        </w:numPr>
        <w:spacing w:after="90" w:line="276"/>
      </w:pPr>
      <w:r>
        <w:rPr>
          <w:rFonts w:ascii="Arial" w:cs="Arial" w:eastAsia="Arial" w:hAnsi="Arial"/>
          <w:color w:val="33332E"/>
          <w:sz w:val="21"/>
          <w:szCs w:val="21"/>
        </w:rPr>
        <w:t xml:space="preserve">Campus administration (for campus-level proposals, e.g., Every Campus a Refuge)</w:t>
      </w:r>
    </w:p>
    <w:p>
      <w:pPr>
        <w:pStyle w:val="ListParagraph"/>
        <w:numPr>
          <w:ilvl w:val="0"/>
          <w:numId w:val="2"/>
        </w:numPr>
        <w:spacing w:after="90" w:line="276"/>
      </w:pPr>
      <w:r>
        <w:rPr>
          <w:rFonts w:ascii="Arial" w:cs="Arial" w:eastAsia="Arial" w:hAnsi="Arial"/>
          <w:color w:val="33332E"/>
          <w:sz w:val="21"/>
          <w:szCs w:val="21"/>
        </w:rPr>
        <w:t xml:space="preserve">Community foundations hosting civic forums</w:t>
      </w:r>
    </w:p>
    <w:p>
      <w:pPr>
        <w:pStyle w:val="Heading2"/>
        <w:spacing w:after="120" w:before="260"/>
      </w:pPr>
      <w:r>
        <w:rPr>
          <w:rFonts w:ascii="Arial" w:cs="Arial" w:eastAsia="Arial" w:hAnsi="Arial"/>
          <w:b/>
          <w:bCs/>
          <w:color w:val="175A82"/>
          <w:sz w:val="24"/>
          <w:szCs w:val="24"/>
        </w:rPr>
        <w:t xml:space="preserve">Project steps</w:t>
      </w:r>
    </w:p>
    <w:p>
      <w:pPr>
        <w:pStyle w:val="ListParagraph"/>
        <w:numPr>
          <w:ilvl w:val="0"/>
          <w:numId w:val="3"/>
        </w:numPr>
        <w:spacing w:after="90" w:line="276"/>
      </w:pPr>
      <w:r>
        <w:rPr>
          <w:rFonts w:ascii="Arial" w:cs="Arial" w:eastAsia="Arial" w:hAnsi="Arial"/>
          <w:color w:val="33332E"/>
          <w:sz w:val="21"/>
          <w:szCs w:val="21"/>
        </w:rPr>
        <w:t xml:space="preserve">Select and refine one proposal developed during the course (any module's project can seed it).</w:t>
      </w:r>
    </w:p>
    <w:p>
      <w:pPr>
        <w:pStyle w:val="ListParagraph"/>
        <w:numPr>
          <w:ilvl w:val="0"/>
          <w:numId w:val="3"/>
        </w:numPr>
        <w:spacing w:after="90" w:line="276"/>
      </w:pPr>
      <w:r>
        <w:rPr>
          <w:rFonts w:ascii="Arial" w:cs="Arial" w:eastAsia="Arial" w:hAnsi="Arial"/>
          <w:color w:val="33332E"/>
          <w:sz w:val="21"/>
          <w:szCs w:val="21"/>
        </w:rPr>
        <w:t xml:space="preserve">Map the stakeholders: who decides, who benefits, who bears costs, who must be consulted.</w:t>
      </w:r>
    </w:p>
    <w:p>
      <w:pPr>
        <w:pStyle w:val="ListParagraph"/>
        <w:numPr>
          <w:ilvl w:val="0"/>
          <w:numId w:val="3"/>
        </w:numPr>
        <w:spacing w:after="90" w:line="276"/>
      </w:pPr>
      <w:r>
        <w:rPr>
          <w:rFonts w:ascii="Arial" w:cs="Arial" w:eastAsia="Arial" w:hAnsi="Arial"/>
          <w:color w:val="33332E"/>
          <w:sz w:val="21"/>
          <w:szCs w:val="21"/>
        </w:rPr>
        <w:t xml:space="preserve">Consult at least one community organization affected by the proposal and revise based on their input.</w:t>
      </w:r>
    </w:p>
    <w:p>
      <w:pPr>
        <w:pStyle w:val="ListParagraph"/>
        <w:numPr>
          <w:ilvl w:val="0"/>
          <w:numId w:val="3"/>
        </w:numPr>
        <w:spacing w:after="90" w:line="276"/>
      </w:pPr>
      <w:r>
        <w:rPr>
          <w:rFonts w:ascii="Arial" w:cs="Arial" w:eastAsia="Arial" w:hAnsi="Arial"/>
          <w:color w:val="33332E"/>
          <w:sz w:val="21"/>
          <w:szCs w:val="21"/>
        </w:rPr>
        <w:t xml:space="preserve">Prepare the stakeholder briefing: two-page brief plus short presentation, in the register the venue expects.</w:t>
      </w:r>
    </w:p>
    <w:p>
      <w:pPr>
        <w:pStyle w:val="ListParagraph"/>
        <w:numPr>
          <w:ilvl w:val="0"/>
          <w:numId w:val="3"/>
        </w:numPr>
        <w:spacing w:after="90" w:line="276"/>
      </w:pPr>
      <w:r>
        <w:rPr>
          <w:rFonts w:ascii="Arial" w:cs="Arial" w:eastAsia="Arial" w:hAnsi="Arial"/>
          <w:color w:val="33332E"/>
          <w:sz w:val="21"/>
          <w:szCs w:val="21"/>
        </w:rPr>
        <w:t xml:space="preserve">Deliver the presentation at a real venue (partner meeting, public comment, campus forum, organized course summit with invited stakeholders).</w:t>
      </w:r>
    </w:p>
    <w:p>
      <w:pPr>
        <w:pStyle w:val="ListParagraph"/>
        <w:numPr>
          <w:ilvl w:val="0"/>
          <w:numId w:val="3"/>
        </w:numPr>
        <w:spacing w:after="90" w:line="276"/>
      </w:pPr>
      <w:r>
        <w:rPr>
          <w:rFonts w:ascii="Arial" w:cs="Arial" w:eastAsia="Arial" w:hAnsi="Arial"/>
          <w:color w:val="33332E"/>
          <w:sz w:val="21"/>
          <w:szCs w:val="21"/>
        </w:rPr>
        <w:t xml:space="preserve">Debrief: what feedback did you get, and what would version two look like?</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Two-page stakeholder brief</w:t>
      </w:r>
    </w:p>
    <w:p>
      <w:pPr>
        <w:pStyle w:val="ListParagraph"/>
        <w:numPr>
          <w:ilvl w:val="0"/>
          <w:numId w:val="2"/>
        </w:numPr>
        <w:spacing w:after="90" w:line="276"/>
      </w:pPr>
      <w:r>
        <w:rPr>
          <w:rFonts w:ascii="Arial" w:cs="Arial" w:eastAsia="Arial" w:hAnsi="Arial"/>
          <w:color w:val="33332E"/>
          <w:sz w:val="21"/>
          <w:szCs w:val="21"/>
        </w:rPr>
        <w:t xml:space="preserve">Delivered presentation (slides or script)</w:t>
      </w:r>
    </w:p>
    <w:p>
      <w:pPr>
        <w:pStyle w:val="ListParagraph"/>
        <w:numPr>
          <w:ilvl w:val="0"/>
          <w:numId w:val="2"/>
        </w:numPr>
        <w:spacing w:after="90" w:line="276"/>
      </w:pPr>
      <w:r>
        <w:rPr>
          <w:rFonts w:ascii="Arial" w:cs="Arial" w:eastAsia="Arial" w:hAnsi="Arial"/>
          <w:color w:val="33332E"/>
          <w:sz w:val="21"/>
          <w:szCs w:val="21"/>
        </w:rPr>
        <w:t xml:space="preserve">Stakeholder feedback debrief (2 pages)</w:t>
      </w:r>
    </w:p>
    <w:p>
      <w:pPr>
        <w:pStyle w:val="Heading2"/>
        <w:spacing w:after="120" w:before="260"/>
      </w:pPr>
      <w:r>
        <w:rPr>
          <w:rFonts w:ascii="Arial" w:cs="Arial" w:eastAsia="Arial" w:hAnsi="Arial"/>
          <w:b/>
          <w:bCs/>
          <w:color w:val="175A82"/>
          <w:sz w:val="24"/>
          <w:szCs w:val="24"/>
        </w:rPr>
        <w:t xml:space="preserve">Time commitment</w:t>
      </w:r>
    </w:p>
    <w:p>
      <w:pPr>
        <w:spacing w:after="160" w:line="276"/>
      </w:pPr>
      <w:r>
        <w:rPr>
          <w:rFonts w:ascii="Arial" w:cs="Arial" w:eastAsia="Arial" w:hAnsi="Arial"/>
          <w:color w:val="33332E"/>
          <w:sz w:val="21"/>
          <w:szCs w:val="21"/>
        </w:rPr>
        <w:t xml:space="preserve">15 hours plus the presentation event.</w:t>
      </w:r>
    </w:p>
    <w:p>
      <w:pPr>
        <w:pStyle w:val="Heading2"/>
        <w:spacing w:after="120" w:before="260"/>
      </w:pPr>
      <w:r>
        <w:rPr>
          <w:rFonts w:ascii="Arial" w:cs="Arial" w:eastAsia="Arial" w:hAnsi="Arial"/>
          <w:b/>
          <w:bCs/>
          <w:color w:val="175A82"/>
          <w:sz w:val="24"/>
          <w:szCs w:val="24"/>
        </w:rPr>
        <w:t xml:space="preserve">Ethics requirements</w:t>
      </w:r>
    </w:p>
    <w:p>
      <w:pPr>
        <w:spacing w:after="160" w:line="276"/>
      </w:pPr>
      <w:r>
        <w:rPr>
          <w:rFonts w:ascii="Arial" w:cs="Arial" w:eastAsia="Arial" w:hAnsi="Arial"/>
          <w:color w:val="33332E"/>
          <w:sz w:val="21"/>
          <w:szCs w:val="21"/>
        </w:rPr>
        <w:t xml:space="preserve">Proposals affecting a community are shared with that community first; feedback is credited.</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and realism of the proposal</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excellent: quality and realism of the proposal is fully addressed — costs, constraints, politics, and failure modes are named honestly and the proposal remains workable anyway.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good: quality and realism of the proposal is addressed for the major factors, with minor blind spots that would not sink the proposal.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limited: quality and realism of the proposal is addressed superficially — key constraints or failure modes are ignored, making the proposal fragile.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missing: quality and realism of the proposal is not addressed; the proposal ignores obvious constraints and would not survive contact with reality.</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Evidence of genuine community consultation</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Collaboration is genuinely shared: evidence of genuine community consultation is fully realized — partner and community voices shaped key decisions, their priorities are visible in the result, and their contribution is credited.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Collaboration is real: evidence of genuine community consultation is achieved — the partner reviewed and influenced the work, though some decisions stayed one-sided.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Collaboration is thin: evidence of genuine community consultation is claimed more than practiced; the partner was consulted late or superficially, and the result reflects the student's assumptions.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Collaboration is absent: evidence of genuine community consultation did not occur; the work was done about or for the community rather than with it.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Effectiveness of the stakeholder presentation</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Performance under questioning is outstanding: effectiveness of the stakeholder presentation shows command of the material, direct engagement with hard questions, and revision that visibly improved the work.</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Performance is solid: effectiveness of the stakeholder presentation shows good command and reasonable answers to challenges, with revision addressing the main feedback.</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Performance is shaky: effectiveness of the stakeholder presentation shows incomplete command — questions deflected or answered vaguely, revision cosmetic.</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Performance is inadequate: effectiveness of the stakeholder presentation shows the student could not explain or defend their own work, and feedback was not incorporated.</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Debrief honesty and insight</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genuinely self-examining: debrief honesty and insight shows specific assumptions confronted with evidence, real change or evidenced confirmation, and questions that extend beyond the assignment.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substantive: debrief honesty and insight shows honest engagement with the student's own thinking, supported by course material, with occasional generality.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surface-level: debrief honesty and insight is attempted but stays safe or generic — conclusions asserted rather than examined, little connection to evidence.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performative or missing: debrief honesty and insight shows no genuine self-examination or contradicts the evidence presented.</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14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14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2026-07-21T19:52:49.497Z</dcterms:created>
  <dcterms:modified xsi:type="dcterms:W3CDTF">2026-07-21T19:52:49.497Z</dcterms:modified>
</cp:coreProperties>
</file>

<file path=docProps/custom.xml><?xml version="1.0" encoding="utf-8"?>
<Properties xmlns="http://schemas.openxmlformats.org/officeDocument/2006/custom-properties" xmlns:vt="http://schemas.openxmlformats.org/officeDocument/2006/docPropsVTypes"/>
</file>